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24-TA-2406: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19. decembra noteikumos Nr. 811 "Eiropas Savienības kohēzijas politikas programmas 2021.–2027. gadam 1.1.1. specifiskā atbalsta mērķa "Pētniecības un inovāciju kapacitātes stiprināšana un progresīvu tehnoloģiju ieviešana kopējā P&amp;A sistēmā" 1.1.1.8. pasākuma "Doktorantūras granti"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Centrālās finanšu un līgumu aģentūras tīmekļa vietnē pieejamo informāciju 28.10.2024. ir noslēgusies 1.1.1.8. pasākuma "Doktorantūras granti" projektu iesniegumu iesniegšana un pašlaik notiek to vērtēšana. Ņemot vērā minēto, lūdzam anotācijā norādīt, vai grozījumiem Ministru kabineta 2023. gada 19. decembra noteikumos Nr. 811 "Eiropas Savienības kohēzijas politikas programmas 2021.–2027. gadam 1.1.1. specifiskā atbalsta mērķa "Pētniecības un inovāciju kapacitātes stiprināšana un progresīvu tehnoloģiju ieviešana kopējā P&amp;A sistēmā" 1.1.1.8. pasākuma "Doktorantūras granti" īstenošanas noteikumi” (turpmāk – MK noteikumi) būs ietekme uz projektu iesniegumu atlasi, kā par plānotajām izmaiņām MK noteikumu 7. punktā tiks informēti projektu iesniedzēji, un vai gadījumos, ja vienošanās par projekta īstenošanu jau būs noslēgtas, tajās būs nepieciešams veikt grozījumus.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Germs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interpretācijas risku projekta īstenošanas laikā, lūdzam precizēt informāciju par MK noteikumu 31.2. apakšpunktā netiešo izmaksu attiecināmību, papildinot informāciju anotācijā, ka netiešās attiecināmās izmaksas plāno kā vienu izmaksu pozīciju, piemērojot netiešo izmaksu vienoto likmi 15 procentu apmērā no projekta vadības un īstenošanas personāla izmaksām finansējuma saņēmējam un/vai sadarbības partneriem, kuras radušās uz darba līguma pamata, vai nepieciešamības gadījumā precizējot MK noteikumu 33.punktu, kā attiecināmās izmaksas sadarbības partnerim iekļaujot 31.2.apakšpunktu.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Rasa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Izglītības un zinātnes ministriju anotācijas sadaļā Problēmas un risinājumi/ Problēmas apraksts minēto informāciju, ka tāpat nepieciešams precizēt noteikumu 7. punktā ietvertos RIS3 rādītājus atbilstoši Ekonomikas ministrijas izstrādātajām vadlīnijām "Vadlīnijas par viedās specializācijas stratēģijas jomas noteikšanu un monitoringa veikšanu" papildināt ar informāciju par augstākminēto vadlīniju saskaņošanas gadu -2024.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nepieciešams precizēt noteikumu 7. punktā ietvertos RIS3 rādītājus atbilstoši Ekonomikas ministrijas izstrādātajām vadlīnijām "Vadlīnijas par viedās specializācijas stratēģijas jomas noteikšanu un monitoringa veikšanu" </w:t>
            </w:r>
            <w:r w:rsidR="00000000" w:rsidRPr="00000000" w:rsidDel="00000000">
              <w:rPr>
                <w:u w:val="single"/>
                <w:rtl w:val="0"/>
              </w:rPr>
              <w:t xml:space="preserve">(2024).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 šo noteikumu </w:t>
            </w:r>
            <w:r w:rsidR="00000000" w:rsidRPr="00000000" w:rsidDel="00000000">
              <w:rPr>
                <w:rtl w:val="0"/>
              </w:rPr>
              <w:t xml:space="preserve">18.1.</w:t>
            </w:r>
            <w:r w:rsidR="00000000" w:rsidRPr="00000000" w:rsidDel="00000000">
              <w:rPr>
                <w:rtl w:val="0"/>
              </w:rPr>
              <w:t xml:space="preserve">, </w:t>
            </w:r>
            <w:r w:rsidR="00000000" w:rsidRPr="00000000" w:rsidDel="00000000">
              <w:rPr>
                <w:rtl w:val="0"/>
              </w:rPr>
              <w:t xml:space="preserve">18.2.</w:t>
            </w:r>
            <w:r w:rsidR="00000000" w:rsidRPr="00000000" w:rsidDel="00000000">
              <w:rPr>
                <w:rtl w:val="0"/>
              </w:rPr>
              <w:t xml:space="preserve">, </w:t>
            </w:r>
            <w:r w:rsidR="00000000" w:rsidRPr="00000000" w:rsidDel="00000000">
              <w:rPr>
                <w:rtl w:val="0"/>
              </w:rPr>
              <w:t xml:space="preserve">18.3.</w:t>
            </w:r>
            <w:r w:rsidR="00000000" w:rsidRPr="00000000" w:rsidDel="00000000">
              <w:rPr>
                <w:rtl w:val="0"/>
              </w:rPr>
              <w:t xml:space="preserve">, </w:t>
            </w:r>
            <w:r w:rsidR="00000000" w:rsidRPr="00000000" w:rsidDel="00000000">
              <w:rPr>
                <w:rtl w:val="0"/>
              </w:rPr>
              <w:t xml:space="preserve">18.5.</w:t>
            </w:r>
            <w:r w:rsidR="00000000" w:rsidRPr="00000000" w:rsidDel="00000000">
              <w:rPr>
                <w:rtl w:val="0"/>
              </w:rPr>
              <w:t xml:space="preserve"> un </w:t>
            </w:r>
            <w:r w:rsidR="00000000" w:rsidRPr="00000000" w:rsidDel="00000000">
              <w:rPr>
                <w:rtl w:val="0"/>
              </w:rPr>
              <w:t xml:space="preserve">18.7.</w:t>
            </w:r>
            <w:r w:rsidR="00000000" w:rsidRPr="00000000" w:rsidDel="00000000">
              <w:rPr>
                <w:rtl w:val="0"/>
              </w:rPr>
              <w:t xml:space="preserve"> apakšpunktā</w:t>
            </w:r>
            <w:r w:rsidR="00000000" w:rsidRPr="00000000" w:rsidDel="00000000">
              <w:rPr>
                <w:rtl w:val="0"/>
              </w:rPr>
              <w:t xml:space="preserve"> minētie finansējuma saņēmēji noslēdz sadarbības līgumu ar vēl vismaz vienu projekta sadarbības partneri, kas nav šo noteikumu </w:t>
            </w:r>
            <w:r w:rsidR="00000000" w:rsidRPr="00000000" w:rsidDel="00000000">
              <w:rPr>
                <w:rtl w:val="0"/>
              </w:rPr>
              <w:t xml:space="preserve">18.2.</w:t>
            </w:r>
            <w:r w:rsidR="00000000" w:rsidRPr="00000000" w:rsidDel="00000000">
              <w:rPr>
                <w:rtl w:val="0"/>
              </w:rPr>
              <w:t xml:space="preserve">, </w:t>
            </w:r>
            <w:r w:rsidR="00000000" w:rsidRPr="00000000" w:rsidDel="00000000">
              <w:rPr>
                <w:rtl w:val="0"/>
              </w:rPr>
              <w:t xml:space="preserve">18.5.</w:t>
            </w:r>
            <w:r w:rsidR="00000000" w:rsidRPr="00000000" w:rsidDel="00000000">
              <w:rPr>
                <w:rtl w:val="0"/>
              </w:rPr>
              <w:t xml:space="preserve"> un </w:t>
            </w:r>
            <w:r w:rsidR="00000000" w:rsidRPr="00000000" w:rsidDel="00000000">
              <w:rPr>
                <w:rtl w:val="0"/>
              </w:rPr>
              <w:t xml:space="preserve">18.7.</w:t>
            </w:r>
            <w:r w:rsidR="00000000" w:rsidRPr="00000000" w:rsidDel="00000000">
              <w:rPr>
                <w:rtl w:val="0"/>
              </w:rPr>
              <w:t xml:space="preserve"> apakšpunktā</w:t>
            </w:r>
            <w:r w:rsidR="00000000" w:rsidRPr="00000000" w:rsidDel="00000000">
              <w:rPr>
                <w:rtl w:val="0"/>
              </w:rPr>
              <w:t xml:space="preserve"> minētie finansējuma saņēmēja sadarbības partneri;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26.1.apakšpunktu, izsakot to piedāvātajā redakcijā, jo pēc MK noteikumu grozījumu veikšanas 18.5.apakšpunktā netiks norādīti finansējuma saņēmēja sadarbības partneri.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 šo noteikumu 18.1., 18.2., 18.3., 18.5. un 18.7. apakšpunktā minētie finansējuma saņēmēji noslēdz sadarbības līgumu ar vēl vismaz vienu projekta sadarbības partneri, kas nav šo noteikumu 18.2. un 18.7. apakšpunktā minētie finansējuma saņēmēja sadarbības partneri;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Germs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Finansējuma saņēmējs un projekta sadarbības partneris projekta īstenošanas laikā nodrošina interešu konflikta neesību saskaņā ar Eiropas Parlamenta un Padomes 2018. gada 18. jūlija Regulas (ES, </w:t>
            </w:r>
            <w:r w:rsidR="00000000" w:rsidRPr="00000000" w:rsidDel="00000000">
              <w:rPr>
                <w:i w:val="1"/>
                <w:rtl w:val="0"/>
              </w:rPr>
              <w:t xml:space="preserve">Euratom</w:t>
            </w:r>
            <w:r w:rsidR="00000000" w:rsidRPr="00000000" w:rsidDel="00000000">
              <w:rPr>
                <w:rtl w:val="0"/>
              </w:rPr>
              <w:t xml:space="preserve">) Nr. 2018/1046 par finanšu noteikumiem, ko piemēro Savienības vispārējam budžetam, ar kuru groza Regulas (ES) Nr.  </w:t>
            </w:r>
            <w:r w:rsidR="00000000" w:rsidRPr="00000000" w:rsidDel="00000000">
              <w:rPr>
                <w:rtl w:val="0"/>
              </w:rPr>
              <w:t xml:space="preserve">1296/2013</w:t>
            </w:r>
            <w:r w:rsidR="00000000" w:rsidRPr="00000000" w:rsidDel="00000000">
              <w:rPr>
                <w:rtl w:val="0"/>
              </w:rPr>
              <w:t xml:space="preserve">, (ES) Nr.  </w:t>
            </w:r>
            <w:r w:rsidR="00000000" w:rsidRPr="00000000" w:rsidDel="00000000">
              <w:rPr>
                <w:rtl w:val="0"/>
              </w:rPr>
              <w:t xml:space="preserve">1301/2013</w:t>
            </w:r>
            <w:r w:rsidR="00000000" w:rsidRPr="00000000" w:rsidDel="00000000">
              <w:rPr>
                <w:rtl w:val="0"/>
              </w:rPr>
              <w:t xml:space="preserve">, (ES) Nr.  </w:t>
            </w:r>
            <w:r w:rsidR="00000000" w:rsidRPr="00000000" w:rsidDel="00000000">
              <w:rPr>
                <w:rtl w:val="0"/>
              </w:rPr>
              <w:t xml:space="preserve">1303/2013</w:t>
            </w:r>
            <w:r w:rsidR="00000000" w:rsidRPr="00000000" w:rsidDel="00000000">
              <w:rPr>
                <w:rtl w:val="0"/>
              </w:rPr>
              <w:t xml:space="preserve">, (ES) Nr.  </w:t>
            </w:r>
            <w:r w:rsidR="00000000" w:rsidRPr="00000000" w:rsidDel="00000000">
              <w:rPr>
                <w:rtl w:val="0"/>
              </w:rPr>
              <w:t xml:space="preserve">1304/2013</w:t>
            </w:r>
            <w:r w:rsidR="00000000" w:rsidRPr="00000000" w:rsidDel="00000000">
              <w:rPr>
                <w:rtl w:val="0"/>
              </w:rPr>
              <w:t xml:space="preserve">, (ES) Nr.  </w:t>
            </w:r>
            <w:r w:rsidR="00000000" w:rsidRPr="00000000" w:rsidDel="00000000">
              <w:rPr>
                <w:rtl w:val="0"/>
              </w:rPr>
              <w:t xml:space="preserve">1309/2013</w:t>
            </w:r>
            <w:r w:rsidR="00000000" w:rsidRPr="00000000" w:rsidDel="00000000">
              <w:rPr>
                <w:rtl w:val="0"/>
              </w:rPr>
              <w:t xml:space="preserve">, (ES) Nr.  </w:t>
            </w:r>
            <w:r w:rsidR="00000000" w:rsidRPr="00000000" w:rsidDel="00000000">
              <w:rPr>
                <w:rtl w:val="0"/>
              </w:rPr>
              <w:t xml:space="preserve">1316/2013</w:t>
            </w:r>
            <w:r w:rsidR="00000000" w:rsidRPr="00000000" w:rsidDel="00000000">
              <w:rPr>
                <w:rtl w:val="0"/>
              </w:rPr>
              <w:t xml:space="preserve">, (ES) Nr.  </w:t>
            </w:r>
            <w:r w:rsidR="00000000" w:rsidRPr="00000000" w:rsidDel="00000000">
              <w:rPr>
                <w:rtl w:val="0"/>
              </w:rPr>
              <w:t xml:space="preserve">223/2014</w:t>
            </w:r>
            <w:r w:rsidR="00000000" w:rsidRPr="00000000" w:rsidDel="00000000">
              <w:rPr>
                <w:rtl w:val="0"/>
              </w:rPr>
              <w:t xml:space="preserve">, (ES) Nr.  </w:t>
            </w:r>
            <w:r w:rsidR="00000000" w:rsidRPr="00000000" w:rsidDel="00000000">
              <w:rPr>
                <w:rtl w:val="0"/>
              </w:rPr>
              <w:t xml:space="preserve">283/2014</w:t>
            </w:r>
            <w:r w:rsidR="00000000" w:rsidRPr="00000000" w:rsidDel="00000000">
              <w:rPr>
                <w:rtl w:val="0"/>
              </w:rPr>
              <w:t xml:space="preserve"> un Lēmumu Nr. 541/2014/ES un atceļ Regulu (ES, </w:t>
            </w:r>
            <w:r w:rsidR="00000000" w:rsidRPr="00000000" w:rsidDel="00000000">
              <w:rPr>
                <w:i w:val="1"/>
                <w:rtl w:val="0"/>
              </w:rPr>
              <w:t xml:space="preserve">Euratom</w:t>
            </w:r>
            <w:r w:rsidR="00000000" w:rsidRPr="00000000" w:rsidDel="00000000">
              <w:rPr>
                <w:rtl w:val="0"/>
              </w:rPr>
              <w:t xml:space="preserve">) Nr. 966/2012, 61. panta prasībām un publisko iepirkumu reglamentējošajiem normatīvajiem aktiem, kā arī paraksta interešu konflikta neesības apliecinājumu.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2024. gada 30. septembrī stājusies spēkā jaunā “Finanšu regula” – Eiropas Parlamenta un Padomes 2024. gada 23. septembra Regula (ES, Euratom) 2024/2509 par finanšu noteikumiem, ko piemēro Savienības vispārējam budžetam (pārstrādāta redakcija) (turpmāk - Regula 2024/2509), un saskaņā ar Regulas 2024/2509 279. pantu tā atceļ iepriekšējo “Finanšu regulu” – Eiropas Parlamenta un Padomes 2018. gada 18. jūlija Regula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Regula 2018/1046).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MK noteikumu 46.punktā precizēt regulas atsauces, norādot atsauci uz Regulu 2024/2509. Saskaņā ar Regulas 2024/2509 279. pantu atsauces uz atcelto Regulu 2018/1046 uzskata par atsaucēm uz Regulu 2024/2509, un tās lasa saskaņā ar atbilstības tabulu Regulas 2024/2509 II pielikumā.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Germs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24-TA-2406</w:t>
    </w:r>
    <w:r>
      <w:br/>
    </w:r>
    <w:r w:rsidR="00000000" w:rsidRPr="00000000" w:rsidDel="00000000">
      <w:rPr>
        <w:rtl w:val="0"/>
      </w:rPr>
      <w:t xml:space="preserve">Izdrukāts 27.11.2024. 15.53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24-TA-2406</w:t>
    </w:r>
    <w:r>
      <w:br/>
    </w:r>
    <w:r w:rsidR="00000000" w:rsidRPr="00000000" w:rsidDel="00000000">
      <w:rPr>
        <w:rtl w:val="0"/>
      </w:rPr>
      <w:t xml:space="preserve">Izdrukāts 27.11.2024. 15.53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Atzinumi_24-TA-2406.docx</dc:title>
</cp:coreProperties>
</file>

<file path=docProps/custom.xml><?xml version="1.0" encoding="utf-8"?>
<Properties xmlns="http://schemas.openxmlformats.org/officeDocument/2006/custom-properties" xmlns:vt="http://schemas.openxmlformats.org/officeDocument/2006/docPropsVTypes"/>
</file>