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Gaisa piesārņojuma samazināšanas rīcības plāna 2020.-2030. gadam izpildi 2020.,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8.tabulā "Rīcības plāna 8.2. sadaļā esošo pasākumu izpilde"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precizējot 1.8.sadaļā sasniegtā rezultāta rādītāja aprakstu, ņemot vērā, ka veicamais pasākums ir ieguldījumi siltumapgādē, bet sasniegtā rezultātā rādītāja aprakstā norādīta informācija par ieguldījumiem energoefektivitātes pasākumā (Ekonomikas ministrijas īstenotais 4.2.1.2.pasākums "Veicināt energoefektivitātes paaugstināšanu valsts ēkās");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2.1.sadaļā aizstājot Eiropas Reģionālās attīstības fondu ar Kohēzijas fondu pie 4.1.1.specifiskā atbalsta mērķa "Veicināt efektīvu energoresursu izmantošanu, enerģijas patēriņa samazināšanu un pāreju uz AER apstrādes rūpniecības nozarē", ņemot vērā, ka ieguldījumi minētā specifiskā atbalsta mērķa ietvaros veikti ar Kohēzijas fonda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31.01.2024.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31.01.2024.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Atzinumi_23-TA-2995.docx</dc:title>
</cp:coreProperties>
</file>

<file path=docProps/custom.xml><?xml version="1.0" encoding="utf-8"?>
<Properties xmlns="http://schemas.openxmlformats.org/officeDocument/2006/custom-properties" xmlns:vt="http://schemas.openxmlformats.org/officeDocument/2006/docPropsVTypes"/>
</file>