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izdevumos pabeigto no valsts budžeta finansēto kapitālo ieguldījumu uzturēšanai, ja finansējumu kapitālo ieguldījumu veikšanai piešķīra kā finansējumu prioritārajam pasākumam un tas ir terminēts. BPIS ar pasākumu (izmaiņu) precizē aili “Turpmāk ik gadu”, lai tā atbilst n+4 gada apmēram (ja ir cits apmērs, tad sniedz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9.5.apakšpunkta 1.teikumu ar vārdiem “kā arī citu kapitālo ieguldījumu uzturēšanai, ja par to īstenošanu pieņemts atsevišķs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Poloņankina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31.03.2026.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31.03.2026.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