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Sadarbības partneris nodrošina izbūvētās infrastruktūras ekspluatāciju, rezultātu uzturēšanu un apsaimniekošanu pēc projekta īstenošanas (ja attiecināms) un var iesaistīties projekta īstenošanā ar tā īpašumā, valdījumā vai turējumā esošu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nav ietverts pienākums finansējuma saņēmējam nodrošināt izbūvētās infrastruktūras ekspluatāciju, rezultātu uzturēšanu un apsaimniekošanu pēc projekta īstenošanas (ja attiecināms) un iespēja iesaistīties projekta īstenošanā ar tā īpašumā, valdījumā vai turējumā esošu nekustamo īpašumu. Lūdzam izvērtēt nepieciešamību papildināt noteikumu projektu ar iepriekš minēto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Sadarbības partneris – siltumapgādes un (vai) ūdenssaimniecības sabiedrisko pakalpojumu sniedzējs – ar pašvaldību noslēdz pakalpojuma līgumu par siltumapgādes un (vai) ūdenssaimniecības sabiedrisko pakalpojumu sniegšanu. Pakalpojuma līgumā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mērķi, lūdzam skaidrot, kāpēc pakalpojuma līgumā nav jānorāda veicamās darbības, kas tieši sekmētu projekta mērķi - gaisa kvalitātes uzlabošanu. Lūdzam izvērtēt nepieciešamību attiecīgi papildināt noteikumu projekta 20.punktu.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saskaņā ar projektu iesniegumu atlases nolikuma prasībām elektroniski sagatavo projekta iesniegumu un iesniedz to sadarbības iestādē, izmantojot Kohēzijas politikas fondu vadības informācijas sistēmu. Projekta iesniedzējs kopā ar projekta iesniegumu, līdzās citiem atlases nolikumā noteiktajiem dokumentiem, iesniedz projekta ietekmes uz tautsaimniecību novērtējumu, brīvā formā, kas satur vismaz primāri izvēlēto pasākumu atdevi un ietekmi uz galvenajiem ietekmētajiem faktoriem.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ir jābūt skaidrai, lai tās lietotājs un piemērotājs gūtu nepārprotamu priekšstatu par savām tiesībām un pienākumiem, tādēļ lūdzam papildināt noteikumu projekta 21. punktu vai noteikumu projekta anotāciju ar terminu "primārie pasākumi" un  "galvenie ietekmējošie faktori" skaidrojumu, piemēriem.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kāpēc minētais novērtējums nav iekļauts atlases nolikumā noteiktajos dokumentos, kā arī novērtējumā sniegtā informācija netiek vērtēta, iekļauta projekta atlases kritērijos.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darbības transporta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ir jābūt skaidrai, lai tās lietotājs un piemērotājs gūtu nepārprotamu priekšstatu par savām tiesībām un pienākumiem, tādēļ lūdzam papildināt noteikumu projekta 23.4. apakšpunktu vai noteikumu projekta anotāciju ar termina "darbības transporta jomā" skaidrojumu, piemēriem.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25.13.</w:t>
            </w:r>
            <w:r w:rsidR="00000000" w:rsidRPr="00000000" w:rsidDel="00000000">
              <w:rPr>
                <w:rtl w:val="0"/>
              </w:rPr>
              <w:t xml:space="preserve"> apakšpunktā minētās attiecināmās izmaksas ir atbalstāmas, ja centralizētā siltumapgādes sistēma atbilst efektīvai centralizētai siltumapgādes sistēmai saskaņā ar Eiropas Parlamenta un Padomes Direktīvas 2012/27/ES par energoefektivitāti, ar ko groza Direktīvas 2009/125/EK un 2010/30/ES un atceļ Direktīvas 2004/8/EK un 2006/32/EK, 2. panta 41.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28. punktā ietverto atsauci uz direktīvu aizstāt ar atsauci uz nacionālo normatīvo tiesību aktu, kurā konkrētā direktīva ir pārņemta. Vēršam uzmanību, ka atbilstoši Līguma par Eiropas Savienības darbību 288. panta trešajai daļai direktīvas dalībvalstīm uzliek saistības attiecībā uz sasniedzamo rezultātu, bet ļauj dalībvalstīm izvēlēties to īstenošanas formas un metodes. Proti, direktīvas atšķirībā no regulām nav tieši piemērojamas un tās kļūst saistošas personām tikai no brīža, kad tās ir pārņemtas Latvijas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Komercdarbības atbalsts pasākuma ietvaros tiek sniegts saskaņā ar Eiropas Komisijas lēmumu Nr. 2012/21/ES.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punktā norādīta atsauce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Lēmums). Saistībā ar minēto vēršam uzmanību, ka 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2. pants noteic, ka šo lēmumu piemēro valsts atbalstam attiecībā uz kompensāciju par sabiedrisko pakalpojumu sniegšanu, kas piešķirta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13. pants noteic, ka šis lēmums ir adresēts dalībvalstīm. Attiecīgi šajā gadījumā nepieciešams izvērtēt, vai Lēmums satur tādas normas, kas attiecināmas arī uz privātpersonām. Ja Lēmums šādas normas satur, tad lūdzam tās pārņemt noteikumu projektā un attiecīgi precizēt noteikumu projekta 31. punktu, svītrojot atsauci uz Lēmumu. Ja Lēmums nesatur normas, kas jāattiecina uz privātpersonām, un Lēmumu var tieši izpildīt valsts iestādes, tad arī šādā gadījumā noteikumu projekta 31. punktā atsauce uz Lēmumu svītrojama, jo atbilstoši Ministru kabineta 2009. gada 3. februāra noteikumu Nr. 108 "Normatīvo aktu projektu sagatavošanas noteikumi" 170.-172. punktam normatīvā akta tekstā atsauces raksta tikai uz Eiropas Savienības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Skat. arī Eiropas Savienības tiesību ieviešanas rokasgrāmatas 2.8. apakšnodaļu „Lēmumu ieviešana”, 48. lp., pieejama: https://www.tm.gov.lv/lv/es-tiesibu-ieviesana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projekta izmaksu pieaugumu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bažas, ka noteikumu projekta 41.3.apakšpunktā minētās izmaksas, iespējams, dublē noteikumu projekta 34. punktā ietverto regulējumu. Attiecīgi lūdzam izvērtēt, vai noteikumu projekta 41.3.apakšpunkts ir izteikts atbilstoši Noteikumu Nr. 108 3.2. un 3.3. apakšpunktam, un neatbilstības gadījumā izdarīt attiecīgus precizējumus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15.09.2023.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15.09.2023.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Atzinumi_23-TA-1895.docx</dc:title>
</cp:coreProperties>
</file>

<file path=docProps/custom.xml><?xml version="1.0" encoding="utf-8"?>
<Properties xmlns="http://schemas.openxmlformats.org/officeDocument/2006/custom-properties" xmlns:vt="http://schemas.openxmlformats.org/officeDocument/2006/docPropsVTypes"/>
</file>