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Krimināllikuma 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30.06.2025.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30.06.2025.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