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projekts paredz, ka 1.1.1.3. pasākuma "Praktiskas ievirzes pētījumi" (turpmāk - 1.1.1.3. pasākums) ietvaros tiek atbalstītas viedās specializācijas stratēģijas jomas – zināšanu ietilpīga bioekonomika (5.1. apakšpunkts), fotonika un viedie materiāli, tehnoloģijas un inženiersistēmas (5.3. apakšpunkts) un viedā enerģētika un mobilitāte (5.4. apakšpunkts), kas paver iespējas radīt jaunus risinājumus resursu efektivitātes uzlabošanai, emisiju samazināšanai un ilgtspējīgas attīstības veicināšanai, kā arī 1.1.1.3. pasākuma otrās kārtas projekta iesnieguma vērtēšanas kritēriju metodikas kvalitātes kritērija 4.2.6. apakšpunktu, kas nosaka vērtēt ietekmi “Projekta ieguldījumu ar klimata pārmaiņām, vidi vai citu ar sabiedrības vajadzību nodrošināšanu saistītu problēmjautājumu risināšanā”, secinām, ka 1.1.1.3. pasākums netieši sekmē horizontālā principa “Klimatdrošināšana” mērķu sasniegšanu. Ņemot vērā iepriekš minēto, lūdzam precizēt anotāciju, norādot, ka 1.1.1.3. pasākumam  ir netieša pozitīva ietekme uz horizontālo principu  "Klimatdrošināšana".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van Rosuma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20.08.2025.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20.08.2025.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