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virzīt noteikumu projektu</w:t>
            </w:r>
            <w:r w:rsidR="00000000" w:rsidRPr="00000000" w:rsidDel="00000000">
              <w:rPr>
                <w:rtl w:val="0"/>
              </w:rPr>
              <w:t xml:space="preserve">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r w:rsidR="00000000" w:rsidRPr="00000000" w:rsidDel="00000000">
              <w:rPr>
                <w:u w:val="single"/>
                <w:rtl w:val="0"/>
              </w:rPr>
              <w:t xml:space="preserve"> izskatīšanai Ministru kabinetā </w:t>
            </w:r>
            <w:r w:rsidR="00000000" w:rsidRPr="00000000" w:rsidDel="00000000">
              <w:rPr>
                <w:rtl w:val="0"/>
              </w:rPr>
              <w:t xml:space="preserve">(turpmāk - MK)</w:t>
            </w:r>
            <w:r w:rsidR="00000000" w:rsidRPr="00000000" w:rsidDel="00000000">
              <w:rPr>
                <w:u w:val="single"/>
                <w:rtl w:val="0"/>
              </w:rPr>
              <w:t xml:space="preserve"> vienlaikus vai pēc noteikumu projekta</w:t>
            </w:r>
            <w:r w:rsidR="00000000" w:rsidRPr="00000000" w:rsidDel="00000000">
              <w:rPr>
                <w:rtl w:val="0"/>
              </w:rPr>
              <w:t xml:space="preserve"> “Grozījumi Ministru kabineta 2024. gada 5. novembra noteikumos Nr. 704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 </w:t>
            </w:r>
            <w:r w:rsidR="00000000" w:rsidRPr="00000000" w:rsidDel="00000000">
              <w:rPr>
                <w:u w:val="single"/>
                <w:rtl w:val="0"/>
              </w:rPr>
              <w:t xml:space="preserve"> izskatīšanas MK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palielināts 4.1.1.1.pasākuma "Ārstniecības iestāžu infrastruktūras attīstība" 1.kārtas pieejamais finansējums, tad lūdzam iesniegt Finanšu ministrijai 4.1.1.specifiskā atbalsta mērķa "Nodrošināt vienlīdzīgu piekļuvi veselības aprūpei un stiprināt veselības sistēmu, tostarp primārās veselības aprūpes noturību" rādītāju metodoloģijas aprakstu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4.1.1.1. pasākuma "Ārstniecības iestāžu infrastruktūras attīstība" katrai kārtai plānoto un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apakšsadaļas “Problēmas apraksts” norādot, kura iestāde, un kur pielēma, par 4.1.1.1. pasākuma "Ārstniecības iestāžu infrastruktūras attīstība" ceturtās kārtas atlases ietvaros neizmantotā finansējuma pārdali TOS un VTMEC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apakšsadaļas “Problēmas apraksts” norādot, </w:t>
            </w:r>
            <w:r w:rsidR="00000000" w:rsidRPr="00000000" w:rsidDel="00000000">
              <w:rPr>
                <w:u w:val="single"/>
                <w:rtl w:val="0"/>
              </w:rPr>
              <w:t xml:space="preserve">kāpēc 4.1.1.1. pasākuma</w:t>
            </w:r>
            <w:r w:rsidR="00000000" w:rsidRPr="00000000" w:rsidDel="00000000">
              <w:rPr>
                <w:rtl w:val="0"/>
              </w:rPr>
              <w:t xml:space="preserve"> "Ārstniecības iestāžu infrastruktūras attīstība" </w:t>
            </w:r>
            <w:r w:rsidR="00000000" w:rsidRPr="00000000" w:rsidDel="00000000">
              <w:rPr>
                <w:u w:val="single"/>
                <w:rtl w:val="0"/>
              </w:rPr>
              <w:t xml:space="preserve">ceturtās kārtas atlases ietvaros netika iesniegti visi plānotie projekti</w:t>
            </w:r>
            <w:r w:rsidR="00000000" w:rsidRPr="00000000" w:rsidDel="00000000">
              <w:rPr>
                <w:rtl w:val="0"/>
              </w:rPr>
              <w:t xml:space="preserve">, t.i. norādot būtiskākos iemeslus, kāpēc atteicās.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apakšsadaļas “Problēmas apraksts” norādot, kad iezīmējās risks, ka nevarēs sasniegt Valsts tiesu medicīnas ekspertīzes centra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apakšsadaļas “Problēmas apraksts” otro rindkopu norādot,</w:t>
            </w:r>
            <w:r w:rsidR="00000000" w:rsidRPr="00000000" w:rsidDel="00000000">
              <w:rPr>
                <w:b w:val="1"/>
                <w:rtl w:val="0"/>
              </w:rPr>
              <w:t xml:space="preserve"> </w:t>
            </w:r>
            <w:r w:rsidR="00000000" w:rsidRPr="00000000" w:rsidDel="00000000">
              <w:rPr>
                <w:b w:val="1"/>
                <w:u w:val="single"/>
                <w:rtl w:val="0"/>
              </w:rPr>
              <w:t xml:space="preserve">kā </w:t>
            </w:r>
            <w:r w:rsidR="00000000" w:rsidRPr="00000000" w:rsidDel="00000000">
              <w:rPr>
                <w:u w:val="single"/>
                <w:rtl w:val="0"/>
              </w:rPr>
              <w:t xml:space="preserve">plānošanas laikā tika konstatēts</w:t>
            </w:r>
            <w:r w:rsidR="00000000" w:rsidRPr="00000000" w:rsidDel="00000000">
              <w:rPr>
                <w:rtl w:val="0"/>
              </w:rPr>
              <w:t xml:space="preserve">, ka pilnvērtīgākai un efektīvākai Veselības aprūpes pakalpojumu onkoloģijas jomā uzlabošanas plānā 2022. – 2024. gadam noteiktā pasākuma nodrošināšanai nepieciešams veikt Mugurkaula un locītavu ķirurģijas centra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visus noteikumu projektā iekļautos grozījumus, t.i. 2. punktā noteiktos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pēc grozījumu stāšanās spēkā būs nepieciešams veikt izmaiņas īstenošanā esošajos VSIA „Traumatoloģijas un ortopēdijas slimnīca” un Valsts tiesu medicīnas ekspertīzes centra projektos, un tie uzskatāmi par būtiskiem, lūdzam papildināt anotāciju saistībā ar to, ka izmaiņas neietekmēs VSIA „Traumatoloģijas un ortopēdijas slimnīca” un Valsts tiesu medicīnas ekspertīzes centra projektu darbības veidu, mērķus vai īstenošanas nosacījumus, tādējādi traucējot to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norādīti izpildes dati 4.1.1. SAM 4.1.1.1. pasākuma pirmās kārtas finansējuma izlietojumam 2024. un 2025. gadā. Vienlaikus turpmāk minēts, ka šobrīd finansējums 4.1.1. SAM 4.1.1.1. pasākuma pirmajai kārtai nav iestrādāts likumā “Par valsts budžetu 2025. gadam un budžeta ietvaru 2025., 2026. un 2027. gadam”. Tādējādi lūdzam precizēt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6. punktā norādītais finansējuma sadalījums pa gadiem neveido norādīto pēc grozījumu projekta stāšanās spēkā 4.1.1. SAM 4.1.1.1. pasākuma pirmās kārtas kopējo plānoto un pieejamo finansējuma apmēru, lūdzam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50.9. nodrošina, ka iepirkumus, kuri nepieciešami atbalstāmo darbību īstenošanai, finansējuma saņēmējs vai sadarbības partneris veic atklātā, pārredzamā, nediskriminējošā un konkurenci nodrošinošā, sociāli atbildīgā veidā,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Ministru kabineta 2023. gada 15. augusta noteikumu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50.9. apakšpunktā noteiktās prasības publiskā iepirkuma veikšanai, paredzot iespēju finansējuma saņēmējiem izvēlēties iepirkuma prasības, t.i. vai piemērot, vai nepiemērot minētos iepirkumu veidus, kā arī paredzot izvēlēties piemērot atsevišķus iepirkuma elementus (piemēram, atbalstu sociālo uzņēmēju dalībai publiskajos iepirkumos), lai būtu viennozīmīgi skaidra un izsekojama, kā arī novērtējama prasība), vienlaikus nodrošinot, ka iepirkumus, kuri nepieciešami atbalstāmo darbību īstenošanai, finansējuma saņēmējs veic atklātā, pārredzamā, nediskriminējošā un konkurenci nodrošinošā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25-TA-1842</w:t>
    </w:r>
    <w:r>
      <w:br/>
    </w:r>
    <w:r w:rsidR="00000000" w:rsidRPr="00000000" w:rsidDel="00000000">
      <w:rPr>
        <w:rtl w:val="0"/>
      </w:rPr>
      <w:t xml:space="preserve">Izdrukāts 01.09.2025.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25-TA-1842</w:t>
    </w:r>
    <w:r>
      <w:br/>
    </w:r>
    <w:r w:rsidR="00000000" w:rsidRPr="00000000" w:rsidDel="00000000">
      <w:rPr>
        <w:rtl w:val="0"/>
      </w:rPr>
      <w:t xml:space="preserve">Izdrukāts 01.09.2025.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Atzinumi_25-TA-1842.docx</dc:title>
</cp:coreProperties>
</file>

<file path=docProps/custom.xml><?xml version="1.0" encoding="utf-8"?>
<Properties xmlns="http://schemas.openxmlformats.org/officeDocument/2006/custom-properties" xmlns:vt="http://schemas.openxmlformats.org/officeDocument/2006/docPropsVTypes"/>
</file>