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501 "Elektronisko sakaru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Elektronisko sakaru tīkla gaisvadu līniju atjaunošanu un pārbūvi, nepalielinot apjomu, var veikt elektronisko sakaru tīklus saglabājot kā gaisvadus.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kamerā (turpmāk - LTRK), piedaloties elektronisko sakaru nozares biedriem, diskutējusi par Ekonomikas ministrijas sagatavoto noteikumu projektu “Grozījumi Ministru kabineta 2014. gada 19. augusta noteikumos Nr. 501 "Elektronisko sakaru inženierbūvju būvnoteikumi"”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diskusijās konstatējām, ka LTRK biedru vidū ir vienprātība šādos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jāpieļauj tiesisko izbūvētu tīklu uzturēšanu un sakārtošanu, lai elektronisko sakaru gaisa vadi būtu droši gan iedzīvotājiem, gan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risinājumam jānodrošina godīgas konkurences apstākļi visiem elektronisko sakaru komersantiem (dažādiem tirgus spēlētājiem dažādi aspekti – gan nelegālo gaisa vadu ietekme uz godīgu konkurenci, gan pazemes šahtu pieejamība un izmaksas šī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labāko risinājumu (vai tā būtu tiesību piemērošanas vai normatīvā regulējuma pilnveidošana), nepieciešams iesaistīt gan nozares komersantus, gan pašvaldības, kuru teritorijā elektronisko sakaru gaisvadu jautājums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nelegāli izbūvēti gaisvadi ir traucējoši godīgai konkurencei un likvidējami.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biedru vidū nav vienprātības šādos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jautājums par obligātu gaisa vadu pārvietošanu uz pazemes šahtām ir regulējams nacionālā līmenī, nevis pašvaldību līmenī, ievērojot gan katras konkrētās pašvaldības vēsturisko specifiku, gan tirgus apstākļus, gan infrastruktūras iespējas (Noteikumu projekta 11.</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Ekonomikas ministriju uzņemties galvo koordinatora lomu, kā arī diskusijās iesaistīt gan komersantus, gan pašvaldības, kur šī problēma ir aktuāla.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04.12.2025.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04.12.2025.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Atzinumi_25-TA-983.docx</dc:title>
</cp:coreProperties>
</file>

<file path=docProps/custom.xml><?xml version="1.0" encoding="utf-8"?>
<Properties xmlns="http://schemas.openxmlformats.org/officeDocument/2006/custom-properties" xmlns:vt="http://schemas.openxmlformats.org/officeDocument/2006/docPropsVTypes"/>
</file>