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21-TA-1420: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Gaisa aizsardzības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gaisa piesārņojuma samazināšanos un normatīvajos aktos noteikto antropogēno emisiju samazināšanas un gaisa kvalitātes uzlabošanas mērķu izpildi, Klimata un enerģētikas ministrija organizē valsts līmeņa gaisa piesārņojuma samazināšanas plāna izstrādi un koordinē tā īstenošanu. Šo plānu izstrādā sadarbībā ar Zemkopības ministriju, Ekonomikas ministriju, Satiksmes ministriju, Finanšu ministriju, Veselības ministriju, valstpilsētu pašvaldībām, kā arī citām iestādēm, ja to pieņemtajiem lēmumiem ir tieša vai pakārtota ietekme uz gaisu piesārņojošo vielu emisijām.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normā vārdu "valstpilsētu", jo saskaņā ar likumprojekta 12. panta pirmo daļu valsts un pašvaldību iestādes īsteno pasākumus, lai teritorijās, kurās netiek pārsniegti gaisa kvalitātes normatīvi, tiktu saglabāts labākais iespējamais gaisa kvalitātes stāvoklis, kas atbilst ilgtspējīgai attīstībai.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Ķeķers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kādā teritorijā ir pārsniegti gaisa kvalitātes normatīvi, valsts un pašvaldību iestādes īsteno pasākumus, kas noteikti pašvaldības gaisa kvalitātes uzlabošanas plānā.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 normu, jo valsts neveic kontroli pār pašvaldību plānu uzraudzību. Pašvaldības kompetencē ir uzraudzīt pašvaldības gaisa kvalitātes uzlabošanas plānu.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Ķeķers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Pašvaldība izstrādā īstermiņa un ilgtermiņa gaisa kvalitātes uzlabošanas plānu sadarbībā ar Klimata un enerģētikas ministriju un citām iestādēm, kuras iesaistītas plāna īstenošanā.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plānus īsteno pati pašvaldība, proti, tā var iesaistīt vien pašvaldības institūcijas, nevis citas institūcijas (valsts institūcijas). Tādējādi lūdzam precizēt šo normu.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Ķeķers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izstrādātais īstermiņa un ilgtermiņa gaisa kvalitātes uzlabošanas plāns ietver pasākumus, kuru īstenošana nav pašvaldības kompetencē, šo pasākumu īstenošanu koordinē ministrija, kuras pārziņā ir attiecīgās nozares politikas izstrāde.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gaisa kvalitātes uzlabošanas plānā ietvertie pasākumi ir saistāmi tikai ar pašvaldības kompetenci un nevar būt attiecināti uz valsts pārvaldes iestāžu kompetencē esošiem jautājumiem, jo valsts institūcijas neatrodas pašvaldību padotībā.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Ķeķers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 var izņēmuma gadījumā pieņemt lēmumu atkāpties no šī panta 16. panta trešajā daļā noteikto prasību ievērošanas. Pašvaldība izņēmumus var paredzēt teritorijām un objektiem, kas nepieciešami būtisku sabiedrības interešu nodrošināšanai, dabas resursu aizsardzībai un ilgtspējīgai izmantošanai. Šādā gadījumā pašvaldība teritorijas plānojuma paskaidrojuma rakstā sniedz pamatojumu šāda izņēmuma noteikšanai.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normas pirmo teikumu, jo izņēmumi ir jānosaka pašvaldības saistošajos noteikumos par teritorijas plānojumu.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Ķeķers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savas kompetences ietvaros izdot administratīvos aktus, kas nepieciešami šajā pantā minētajos saistošajos noteikumos noteikto prasību izpildes kontrolei.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Precizējamas pašvaldības tiesības izdot administratīvos aktus, jo nav noteiktības par to, kādus administratīvos aktus pašvaldība būs tiesīga izdot.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Ķeķers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Pašvaldībai ir pienākums laikus informēt sabiedrību un tos iedzīvotājus, kuru dzīvesvieta ir deklarēta pašvaldības administratīvajā teritorijā un kurus tieši ietekmē paredzētās izmaiņas par saistošajos noteikumos paredzētajām prasībām un to spēkā stāšanās termiņiem.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 vai izslēgt šo normu, jo saskaņā ar Pašvaldību likuma 46. panta trešo daļu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Ķeķers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Pašvaldības, pieņemot šajā pantā minētos saistošos noteikumus, attiecībā uz esošajām apkures iekārtām paredz vismaz vienu gadu garu pārejas periodu.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jānoteic noteikums par vēlāku pašvaldības saistošo noteikumu spēkā stāšanos. Piemēram, pašvaldību saistošie noteikumi, kas izdoti saskaņā ar šā panta otro daļu,  stājas spēkā ne agrāk kā vienu gadu pēc to publicēšanas oficiālajā izdevumā.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Ķeķers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Šajā pantā noteikto prasību izpildes kontroli veic pašvaldības.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Izslēdzama norma, jo pašvaldība nav tiesīga pašvaldību saistošo noteikumu kontroli nodot valsts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Ķeķers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Persona drīkst laist tirgū un pircējs drīkst iegādāties un</w:t>
            </w:r>
            <w:r w:rsidR="00000000" w:rsidRPr="00000000" w:rsidDel="00000000">
              <w:rPr>
                <w:color w:val="#3498db"/>
                <w:rtl w:val="0"/>
              </w:rPr>
              <w:t xml:space="preserve"> </w:t>
            </w:r>
            <w:r w:rsidR="00000000" w:rsidRPr="00000000" w:rsidDel="00000000">
              <w:rPr>
                <w:rtl w:val="0"/>
              </w:rPr>
              <w:t xml:space="preserve">lietot</w:t>
            </w:r>
            <w:r w:rsidR="00000000" w:rsidRPr="00000000" w:rsidDel="00000000">
              <w:rPr>
                <w:color w:val="#3498db"/>
                <w:rtl w:val="0"/>
              </w:rPr>
              <w:t xml:space="preserve"> </w:t>
            </w:r>
            <w:r w:rsidR="00000000" w:rsidRPr="00000000" w:rsidDel="00000000">
              <w:rPr>
                <w:rtl w:val="0"/>
              </w:rPr>
              <w:t xml:space="preserve">krāsas un lakas, kas pārsniedz Ministru kabineta atļauto gaistošo organisko savienojumu saturu, ja attiecīgās krāsas un lakas nepieciešamas, lai atjaunotu vēsturiska spēkrata pārklājumu vai restaurētu, atjaunotu vai uzturētu valsts aizsargājamu arhitektūras un mākslas pieminekli. Šādā gadījumā personai, kas krāsas un lakas laiž tirgū un pircējam ir jāsaņem licenci tādu krāsu un laku tirdzniecībai vai iegādei, kuru sastāvā ir paaugstināts organisko šķīdinātāju saturs (turpmāk – licence).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Izslēdzami vārdi “un otrajā daļā”, jo pašvaldības saistošo noteikumu izpildes kontroli un administratīvo sodu piemērošanu neveic valsts institūcijas, jo tās neatrodas pašvaldību padotībā.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Ķeķers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Centrs sadarbībā ar Veselības inspekciju, Valsts ugunsdzēsības un glābšanas dienestu, vietējo pašvaldību un Valsts vides dienestu informē sabiedrību par trauksmes līmeņa pārsniegumiem.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Izslēdzams vārds “vietējo”, jo atbilstoši Pašvaldību likumam ir viena līmeņa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Ķeķers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Iebraukšana zemo emisiju zonā un bezemisiju zonā ar neatbilstošu transportlīdzekli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likumprojektā nevar paredzēt administratīvo atbildību par pašvaldības saistošajos noteikumos noteikto prasību pārkāpšanu, jo pašvaldības tiesības regulēt noteiktu jautājumu ietver tiesības regulēt atbildību par saistošo noteikumu pārkāpšanu, ievērojot likumā noteiktos ierobežojumus. Tādējādi lūdzam pārskatīt šo normu un anotācijā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Ķeķers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Neatbilstošas apkures iekārtas vai kurināmā izmantošana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likumprojektā nevar paredzēt administratīvo atbildību par pašvaldības saistošajos noteikumos noteikto prasību pārkāpšanu, jo pašvaldības tiesības regulēt noteiktu jautājumu ietver tiesības regulēt atbildību par saistošo noteikumu pārkāpšanu, ievērojot likumā noteiktos ierobežojumus. Tādējādi lūdzam pārskatīt šo normu un anotācijā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Ķeķers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Administratīvā pārkāpuma procesu par šā likuma 27. pantā minētajiem pārkāpumiem veic pašvaldības pilnvarota institūcija vai amatpersona.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atbildības likuma 115. panta trešās daļas pirmais teikums noteic, ka pašvaldības saistošajos noteikumos paredzēto sodu piemērošanai administratīvā pārkāpuma procesu veic šā panta pirmajā daļā minēto pašvaldību iestāžu amatpersonas, kā arī citas pašvaldības saistošajos noteikumos pilnvarotās pašvaldību iestāžu amatpersonas. Tādējādi lūdzam pārskatīt normu ievērojot, ka saistošajos noteikumos pilnvaro pašvaldību iestāžu amatpersonas.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Ķeķers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sadaļu par likumprojekta 16.pantu, atbilstoši likumprojektā paredzētajam regulējumam, aizstājot norādi par teritorijas plānošanas dokumentiem ar atsauci uz teritorijas plānojumu.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Pintele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21-TA-1420</w:t>
    </w:r>
    <w:r>
      <w:br/>
    </w:r>
    <w:r w:rsidR="00000000" w:rsidRPr="00000000" w:rsidDel="00000000">
      <w:rPr>
        <w:rtl w:val="0"/>
      </w:rPr>
      <w:t xml:space="preserve">Izdrukāts 18.03.2025. 21.06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21-TA-1420</w:t>
    </w:r>
    <w:r>
      <w:br/>
    </w:r>
    <w:r w:rsidR="00000000" w:rsidRPr="00000000" w:rsidDel="00000000">
      <w:rPr>
        <w:rtl w:val="0"/>
      </w:rPr>
      <w:t xml:space="preserve">Izdrukāts 18.03.2025. 21.06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Atzinumi_21-TA-1420.docx</dc:title>
</cp:coreProperties>
</file>

<file path=docProps/custom.xml><?xml version="1.0" encoding="utf-8"?>
<Properties xmlns="http://schemas.openxmlformats.org/officeDocument/2006/custom-properties" xmlns:vt="http://schemas.openxmlformats.org/officeDocument/2006/docPropsVTypes"/>
</file>