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Sankcijas un administratīvie pasākumi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pantu ar ceturto daļu piedāvātajā redakcijā. Šādas normas iekļaušana novērsīs interpretācijas iespējas par budžetu, kas saņem uzlikto piespiedu maksājumu.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(4) Šajā pantā minētās soda naudas ieskaitāmas valsts pamatbudžetā.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Hahelis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11.11.2024.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11.11.2024.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