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nodrošināt gala labuma guvēju iesniegto pieteikumu izvērtēšanu atbilstoši vērtēšanas kritērijiem, komercdarbības atbalsta piešķiršanas prasībām un šo noteikumu nosacījumiem, nodrošinot savstarpējās uzraudzības principu ievērošanu lēmuma pieņemšanas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 noteikumu projekta un tā anotācijas nav skaidrs, kas ir domāts ar noteikumu projektā ietvertajā Ministru kabineta 2023. gada 10. janvāra noteikumu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(turpmāk - noteikumi Nr. 10) 25.7. apakšpunktā norādīto savstarpējās uzraudzības principu, tādēļ lūdzam atbilstoši precizēt noteikumu projektu vai sniegt atbilstošu skaidrojumu tā anotācijā. Lai gan anotācijā norādīts, ka pieteikumu izvērtēšana veicama saskaņā Latvijas Investīciju un attīstības iekšējā kārtībā noteikto, tomēr minētā kārtība kā iekšējs tiesību akts nav saistošs pieteikumu iesniedzējiem,  un no noteikumu projekta un tā anotācijas būtu jāizriet minētā principa konkretizācijai (skaidrojot, kā būtu jānodrošina uzraudzība).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25.6. </w:t>
            </w:r>
            <w:r w:rsidR="00000000" w:rsidRPr="00000000" w:rsidDel="00000000">
              <w:rPr>
                <w:rtl w:val="0"/>
              </w:rPr>
              <w:t xml:space="preserve">apakšpunktā</w:t>
            </w:r>
            <w:r w:rsidR="00000000" w:rsidRPr="00000000" w:rsidDel="00000000">
              <w:rPr>
                <w:rtl w:val="0"/>
              </w:rPr>
              <w:t xml:space="preserve"> minēto dokumentāciju atbalsta programmas īstenošanas laikā Latvijas Investīciju un attīstības aģentūra pēc savas iniciatīvas vai Ekonomikas ministrijas lūguma precizē un iesniedz saskaņošanai Ekonomikas ministrijā, vienlaikus nodrošinot vienlīdzību projekta pieteikumu vērtēšanas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15. punktā skaidrot, kādos gadījumos (ar kādu nolūku) Latvijas Investīciju un attīstības aģentūra pēc savas iniciatīvas vai pēc Ekonomikas ministrijas lūguma precizē un iesniedz saskaņošanai šo noteikumu 25.6. apakšpunktā minēto dokumentāciju. Norādām, ka šobrīd sanāk, ka visos gadījumos precizējumi ir veicami un iesniedzami.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w:t>
            </w:r>
            <w:r w:rsidR="00000000" w:rsidRPr="00000000" w:rsidDel="00000000">
              <w:rPr>
                <w:rtl w:val="0"/>
              </w:rPr>
              <w:t xml:space="preserve">5.</w:t>
            </w:r>
            <w:r w:rsidR="00000000" w:rsidRPr="00000000" w:rsidDel="00000000">
              <w:rPr>
                <w:rtl w:val="0"/>
              </w:rPr>
              <w:t xml:space="preserve"> punktā</w:t>
            </w:r>
            <w:r w:rsidR="00000000" w:rsidRPr="00000000" w:rsidDel="00000000">
              <w:rPr>
                <w:rtl w:val="0"/>
              </w:rPr>
              <w:t xml:space="preserve"> minētā Atveseļošanas fonda finansējuma ietvaros atbalsts 32 000 000 euro apmērā ir pieejams gala labuma guvējiem šajos noteikumos noteiktajām atbalstāmajām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17. punktā skaidrot, vai atbalsts 32 000 000 euro apmērā ir pieejams </w:t>
            </w:r>
            <w:r w:rsidR="00000000" w:rsidRPr="00000000" w:rsidDel="00000000">
              <w:rPr>
                <w:u w:val="single"/>
                <w:rtl w:val="0"/>
              </w:rPr>
              <w:t xml:space="preserve">visiem</w:t>
            </w:r>
            <w:r w:rsidR="00000000" w:rsidRPr="00000000" w:rsidDel="00000000">
              <w:rPr>
                <w:rtl w:val="0"/>
              </w:rPr>
              <w:t xml:space="preserve"> gala labuma guvējiem, sasaistot noteikumu Nr. 10 30. punktu ar 27. un 29. punktu, ņemot vērā, ka atbalsta apmērs ir konkrēti noteikts vairākiem gala labuma guvējiem - sīkajiem (mikro) un mazajiem komersantiem, kā arī biedrībām un nodibinājumiem.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izpratnē Eiropas digitālās inovācijas centra pakalpojumus var saņemt gala labuma guvējs, ja tas atbilst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skaidrot, par kādiem Eiropas digitālās inovācijas centra pakalpojumiem ir runa noteikumu projekta 18. punkta ievaddaļā, tādējādi nodrošinot skaidras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projekta anotācijā skaidrot noteikumu projekta 18. punkta ievaddaļas atbilstību noteikumu projekta izdošanas pamatam - Likuma par budžetu un finanšu vadību 19.</w:t>
            </w:r>
            <w:r w:rsidR="00000000" w:rsidRPr="00000000" w:rsidDel="00000000">
              <w:rPr>
                <w:vertAlign w:val="superscript"/>
                <w:rtl w:val="0"/>
              </w:rPr>
              <w:t xml:space="preserve">3</w:t>
            </w:r>
            <w:r w:rsidR="00000000" w:rsidRPr="00000000" w:rsidDel="00000000">
              <w:rPr>
                <w:rtl w:val="0"/>
              </w:rPr>
              <w:t xml:space="preserve"> panta otrajai daļai. Vēršam uzmanību, ka noteikumu projektā pieļaujams regulēt cita starpā attiecīgās investīcijas atbalsta (konkrētajā gadījumā - granta veidā) piešķiršanas nosacījumus un kārtību (tai skaitā arī investīciju projektu uzraudzības kārtību), bet nevis noteiktu pakalpojumu saņemšanas nosacījumus, ja tie nav tieši saistīti ar attiecīgās investīcijas ieviešanu. Ja atbilstošu skaidrojumu nav iespējams sniegt, lūdzam precizēt minēto noteikumu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34.4.1. gala labuma guvējs vai persona, kura ir projekta iesniedzēja valdes vai padomes loceklis vai prokūrists, vai persona, kura ir pilnvarota pārstāvēt projekta iesniedzēju ar filiāli saistītās darbībās, ar tādu prokurora priekšrakstu par sodu vai tiesas spriedumu, kas stājies spēkā un kļuvis neapstrīdams un nepārsūdzams, ir atzīta par vainīgu jebkurā no šādiem noziedzīgiem nodarījumiem: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noteikumu projektu papildināt ar iepriekš noteikumu projektā iekļauto regulējumu, kas paredzēja kā izslēgšanas kritēriju arī personas atzīšanu par vainīgu konkurences tiesību pārkāpumā, kas izpaužas kā vertikālā vienošanās, kuras mērķis ir ierobežot pircēja iespēju noteikt tālākpārdošanas cenu, vai horizontālā karteļa vienošanās. Alternatīvi lūdzam noteikumu projekta anotācijā skaidrot,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34.4.1. gala labuma guvējs vai persona, kura ir projekta iesniedzēja valdes vai padomes loceklis vai prokūrists, vai persona, kura ir pilnvarota pārstāvēt projekta iesniedzēju ar filiāli saistītās darbībās, ar tādu prokurora priekšrakstu par sodu vai tiesas spriedumu, kas stājies spēkā un kļuvis neapstrīdams un nepārsūdzams, ir atzīta par vainīgu jebkurā no šādiem noziedzīgiem nodarījumiem: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18. punktā skaidrot, kurš tiesību subjekts ir projekta iesniedzējs. Norādām, ka ar projekta iesniedzēju varētu tikt saprasta arī Latvijas Investīciju un attīstības aģentūra, ņemot vērā noteikumu Nr. 10 2.8. apakšpunktā ietvertā termina skaidrojumu, taču minētajai aģentūrai kā tiešai pārvaldes iestādei nav valdes vai padomes locekļa vai prokūrista.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minētajam gala labuma guvējam atbalsts nesasniedz Ministru kabineta 2017. gada 28. februāra noteikumu Nr.104 "Noteikumu par iepirkuma procedūru un tās piemērošanas kārtību pasūtītāja finansētiem projektiem" (turpmāk - </w:t>
            </w:r>
            <w:r w:rsidR="00000000" w:rsidRPr="00000000" w:rsidDel="00000000">
              <w:rPr>
                <w:rtl w:val="0"/>
              </w:rPr>
              <w:t xml:space="preserve">MK noteikumi Nr.104</w:t>
            </w:r>
            <w:r w:rsidR="00000000" w:rsidRPr="00000000" w:rsidDel="00000000">
              <w:rPr>
                <w:rtl w:val="0"/>
              </w:rPr>
              <w:t xml:space="preserve"> ) 5.1. apakšpunktā minētās līgumcenu robežvērtības, tādējādi līguma slēgšanai nav piemērojami MK noteikumu Nr. 104 IV nodaļas nosacījumi par līguma slēgšanas tiesību piešķiršanu, vienlaikus ievērojot MK noteikumu Nr. 104 III nodaļas prasības un, ja attiecināms, piemērojams V un VI nodaļas regulējums un I un II nodaļas vispārīgie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 punktā svītrot norādi "tādējādi līguma slēgšanai nav piemērojami MK noteikumu Nr. 104 IV nodaļas nosacījumi par līguma slēgšanas tiesību piešķiršanu, vienlaikus ievērojot MK noteikumu Nr. 104 III nodaļas prasības un, ja attiecināms, piemērojams V un VI nodaļas regulējums un I un II nodaļas vispārīgie noteikumi", tādējādi neskaidrojot minēto Ministru kabineta noteikumu piemērošanas kārtību. Tāpat līdzīgi lūdzam precizēt arī noteikumu projekta 21. punktu, svītrojot tajā norādi "tai skaitā ievērojot līgumu slēgšanas ierobežojumus un līgumcenas pamatotības izvērtēšanu". Skaidrojam, ka minētajām norādēm nav juridiskas slodzes, bet nepieciešamības gadījumā atbilstoši skaidrojumi būtu ietverami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Šo noteikumu </w:t>
            </w:r>
            <w:r w:rsidR="00000000" w:rsidRPr="00000000" w:rsidDel="00000000">
              <w:rPr>
                <w:rtl w:val="0"/>
              </w:rPr>
              <w:t xml:space="preserve">38.</w:t>
            </w:r>
            <w:r w:rsidR="00000000" w:rsidRPr="00000000" w:rsidDel="00000000">
              <w:rPr>
                <w:rtl w:val="0"/>
              </w:rPr>
              <w:t xml:space="preserve"> punktā</w:t>
            </w:r>
            <w:r w:rsidR="00000000" w:rsidRPr="00000000" w:rsidDel="00000000">
              <w:rPr>
                <w:rtl w:val="0"/>
              </w:rPr>
              <w:t xml:space="preserve"> minēto grantu gala labuma guvējs nevar pilnībā izmantot tikai šo noteikumu </w:t>
            </w:r>
            <w:r w:rsidR="00000000" w:rsidRPr="00000000" w:rsidDel="00000000">
              <w:rPr>
                <w:rtl w:val="0"/>
              </w:rPr>
              <w:t xml:space="preserve">18.2.2. </w:t>
            </w:r>
            <w:r w:rsidR="00000000" w:rsidRPr="00000000" w:rsidDel="00000000">
              <w:rPr>
                <w:rtl w:val="0"/>
              </w:rPr>
              <w:t xml:space="preserve">apakšpunktā</w:t>
            </w:r>
            <w:r w:rsidR="00000000" w:rsidRPr="00000000" w:rsidDel="00000000">
              <w:rPr>
                <w:rtl w:val="0"/>
              </w:rPr>
              <w:t xml:space="preserve"> noteikto konsultāciju pakalpojumiem. Minēto konsultāciju pakalpojumu izmaksas saistītas ar šo noteikumu </w:t>
            </w:r>
            <w:r w:rsidR="00000000" w:rsidRPr="00000000" w:rsidDel="00000000">
              <w:rPr>
                <w:rtl w:val="0"/>
              </w:rPr>
              <w:t xml:space="preserve">18.2.1. </w:t>
            </w:r>
            <w:r w:rsidR="00000000" w:rsidRPr="00000000" w:rsidDel="00000000">
              <w:rPr>
                <w:rtl w:val="0"/>
              </w:rPr>
              <w:t xml:space="preserve">apakšpunktā</w:t>
            </w:r>
            <w:r w:rsidR="00000000" w:rsidRPr="00000000" w:rsidDel="00000000">
              <w:rPr>
                <w:rtl w:val="0"/>
              </w:rPr>
              <w:t xml:space="preserve"> minēto pakalpojumu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23. punktā ietvertā noteikumu Nr. 10 41. punkta otro teikumu kā noteikumu projekta 10. punktā ietvertā noteikumu Nr. 10 18.2.2. apakšpunkta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Šo noteikumu </w:t>
            </w:r>
            <w:r w:rsidR="00000000" w:rsidRPr="00000000" w:rsidDel="00000000">
              <w:rPr>
                <w:rtl w:val="0"/>
              </w:rPr>
              <w:t xml:space="preserve">38.</w:t>
            </w:r>
            <w:r w:rsidR="00000000" w:rsidRPr="00000000" w:rsidDel="00000000">
              <w:rPr>
                <w:rtl w:val="0"/>
              </w:rPr>
              <w:t xml:space="preserve"> punktā</w:t>
            </w:r>
            <w:r w:rsidR="00000000" w:rsidRPr="00000000" w:rsidDel="00000000">
              <w:rPr>
                <w:rtl w:val="0"/>
              </w:rPr>
              <w:t xml:space="preserve"> minēto grantu gala labuma guvējs nevar pilnībā izmantot tikai šo noteikumu </w:t>
            </w:r>
            <w:r w:rsidR="00000000" w:rsidRPr="00000000" w:rsidDel="00000000">
              <w:rPr>
                <w:rtl w:val="0"/>
              </w:rPr>
              <w:t xml:space="preserve">18.2.2. </w:t>
            </w:r>
            <w:r w:rsidR="00000000" w:rsidRPr="00000000" w:rsidDel="00000000">
              <w:rPr>
                <w:rtl w:val="0"/>
              </w:rPr>
              <w:t xml:space="preserve">apakšpunktā</w:t>
            </w:r>
            <w:r w:rsidR="00000000" w:rsidRPr="00000000" w:rsidDel="00000000">
              <w:rPr>
                <w:rtl w:val="0"/>
              </w:rPr>
              <w:t xml:space="preserve"> noteikto konsultāciju pakalpojumiem. Minēto konsultāciju pakalpojumu izmaksas saistītas ar šo noteikumu </w:t>
            </w:r>
            <w:r w:rsidR="00000000" w:rsidRPr="00000000" w:rsidDel="00000000">
              <w:rPr>
                <w:rtl w:val="0"/>
              </w:rPr>
              <w:t xml:space="preserve">18.2.1. </w:t>
            </w:r>
            <w:r w:rsidR="00000000" w:rsidRPr="00000000" w:rsidDel="00000000">
              <w:rPr>
                <w:rtl w:val="0"/>
              </w:rPr>
              <w:t xml:space="preserve">apakšpunktā</w:t>
            </w:r>
            <w:r w:rsidR="00000000" w:rsidRPr="00000000" w:rsidDel="00000000">
              <w:rPr>
                <w:rtl w:val="0"/>
              </w:rPr>
              <w:t xml:space="preserve"> minēto pakalpojumu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22. punktā ietverto iebildumu un atkārtoti lūdzam precizēt noteikumu projekta 23. punktu. Izziņā skaidrots, ka pakalpojumu apmērs un konsultāciju specifika atkarībā no pakalpojuma var atšķirties, tādējādi noteiktu procentu apmēru nav iespējams prognozēt. Tomēr vēršam uzmanību, ka norāde, ka grantu nevar </w:t>
            </w:r>
            <w:r w:rsidR="00000000" w:rsidRPr="00000000" w:rsidDel="00000000">
              <w:rPr>
                <w:u w:val="single"/>
                <w:rtl w:val="0"/>
              </w:rPr>
              <w:t xml:space="preserve">pilnībā</w:t>
            </w:r>
            <w:r w:rsidR="00000000" w:rsidRPr="00000000" w:rsidDel="00000000">
              <w:rPr>
                <w:rtl w:val="0"/>
              </w:rPr>
              <w:t xml:space="preserve"> izmantot tikai konsultāciju pakalpojumiem, ir subjektīva un praksē var tikt izmantota ļaunprātīgi, piemēram, paredzot projektā grantu izmantot galvenokārt konsultāciju pakalpojumiem, bet šo noteikumu 18.2.1. apakšpunktā minēto pakalpojumu izmaksām atvēlot nenozīmīgu (formālu) granta daļu. Ierosinām neparedzēt precīzu procentu apmēru, bet paredzēt proporciju (konsultāciju izmaksām pret citām izmaksām) vai citādi formulēt kritērijus konsultāciju pakalpojumu izmaksu ierobežojuma noteikšanai, kas ir noteikumu projekta 23. punkta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Atbalsts tiek sniegts saskaņā ar Komisijas regulu Nr. </w:t>
            </w:r>
            <w:r w:rsidR="00000000" w:rsidRPr="00000000" w:rsidDel="00000000">
              <w:rPr>
                <w:rtl w:val="0"/>
              </w:rPr>
              <w:t xml:space="preserve">1407/2013</w:t>
            </w:r>
            <w:r w:rsidR="00000000" w:rsidRPr="00000000" w:rsidDel="00000000">
              <w:rPr>
                <w:rtl w:val="0"/>
              </w:rPr>
              <w:t xml:space="preserve"> vai Komisijas regulu Nr. </w:t>
            </w:r>
            <w:r w:rsidR="00000000" w:rsidRPr="00000000" w:rsidDel="00000000">
              <w:rPr>
                <w:rtl w:val="0"/>
              </w:rPr>
              <w:t xml:space="preserve">717/2014</w:t>
            </w:r>
            <w:r w:rsidR="00000000" w:rsidRPr="00000000" w:rsidDel="00000000">
              <w:rPr>
                <w:rtl w:val="0"/>
              </w:rPr>
              <w:t xml:space="preserve">, vai Komisijas regulu Nr. </w:t>
            </w:r>
            <w:r w:rsidR="00000000" w:rsidRPr="00000000" w:rsidDel="00000000">
              <w:rPr>
                <w:rtl w:val="0"/>
              </w:rPr>
              <w:t xml:space="preserve">1408/2013</w:t>
            </w:r>
            <w:r w:rsidR="00000000" w:rsidRPr="00000000" w:rsidDel="00000000">
              <w:rPr>
                <w:rtl w:val="0"/>
              </w:rPr>
              <w:t xml:space="preserve"> šo noteikumu </w:t>
            </w:r>
            <w:r w:rsidR="00000000" w:rsidRPr="00000000" w:rsidDel="00000000">
              <w:rPr>
                <w:rtl w:val="0"/>
              </w:rPr>
              <w:t xml:space="preserve">18.2.</w:t>
            </w:r>
            <w:r w:rsidR="00000000" w:rsidRPr="00000000" w:rsidDel="00000000">
              <w:rPr>
                <w:rtl w:val="0"/>
              </w:rPr>
              <w:t xml:space="preserve"> apakšpunktā</w:t>
            </w:r>
            <w:r w:rsidR="00000000" w:rsidRPr="00000000" w:rsidDel="00000000">
              <w:rPr>
                <w:rtl w:val="0"/>
              </w:rPr>
              <w:t xml:space="preserve"> minētajām izmaksām, ja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minētie gala labuma guvēji nevar saņemt atbalstu saskaņā ar šo noteikumu </w:t>
            </w:r>
            <w:r w:rsidR="00000000" w:rsidRPr="00000000" w:rsidDel="00000000">
              <w:rPr>
                <w:rtl w:val="0"/>
              </w:rPr>
              <w:t xml:space="preserve">62.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31. punktu nepieciešams izvērtēt un precizēt.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atbilstoši noteikumu Nr. 10 74. punktam biedrībām un nodibinājumiem atbalsts šo noteikumu 18.2. apakšpunktā minētajām izmaksām tiek sniegts </w:t>
            </w:r>
            <w:r w:rsidR="00000000" w:rsidRPr="00000000" w:rsidDel="00000000">
              <w:rPr>
                <w:u w:val="single"/>
                <w:rtl w:val="0"/>
              </w:rPr>
              <w:t xml:space="preserve">tikai</w:t>
            </w:r>
            <w:r w:rsidR="00000000" w:rsidRPr="00000000" w:rsidDel="00000000">
              <w:rPr>
                <w:rtl w:val="0"/>
              </w:rPr>
              <w:t xml:space="preserve"> saskaņā ar Komisijas regulu Nr. 1407/2013 vai Komisijas regulu Nr. 717/2014, vai Komisijas regulu Nr. 1408/2013. Attiecīgi nav saprotams noteikumu projekta 31. punktā noteiktais, no kā izriet, ka cita starpā biedrības un nodibinājumi atbalstu varētu saņemt saskaņā ar šo noteikumu 62. punktā minētajiem nosacījumiem, no kā savukārt netieši izriet, ka biedrības un nodibinājumi varētu saņemt atbalstu saskaņā ar Komisijas regulu Nr. 651/2014;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atsauce uz šo noteikumu Nr. 10 62. punktā minētajiem nosacījumiem nav skaidri saprotama, jo nosacījums 62. punktā būtībā ir viens. Ja noteikumu projekta 31. punktā tiek dublēts noteikumu Nr. 10 62. punkta saturs, lūdzam izvērtēt iespēju svītrot 62.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18.2.1. apakšpunktā</w:t>
            </w:r>
            <w:r w:rsidR="00000000" w:rsidRPr="00000000" w:rsidDel="00000000">
              <w:rPr>
                <w:rtl w:val="0"/>
              </w:rPr>
              <w:t xml:space="preserve"> minētās licences izmaksas iespējams attiecināt ne ilgāk kā līdz  2026. gada 30. jūnijam. Licences izmaksas no Atveseļošanas fonda var attiecināt, ja tas attiecās uz konkrētās tehnoloģijas vai programmatūras ieviešanu investīcijas ietvaros. Licences darbības termiņš var būt ilgāks par 2026. gada 30. jūniju.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11. punktu, norādot uz licences iegādes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atbilst sīkā (mikro), mazā vai vidējā komersanta statusam saskaņā ar šo noteikumu </w:t>
            </w:r>
            <w:r w:rsidR="00000000" w:rsidRPr="00000000" w:rsidDel="00000000">
              <w:rPr>
                <w:rtl w:val="0"/>
              </w:rPr>
              <w:t xml:space="preserve">2.10. </w:t>
            </w:r>
            <w:r w:rsidR="00000000" w:rsidRPr="00000000" w:rsidDel="00000000">
              <w:rPr>
                <w:rtl w:val="0"/>
              </w:rPr>
              <w:t xml:space="preserve">apakšpunktā</w:t>
            </w:r>
            <w:r w:rsidR="00000000" w:rsidRPr="00000000" w:rsidDel="00000000">
              <w:rPr>
                <w:rtl w:val="0"/>
              </w:rPr>
              <w:t xml:space="preserve"> vai lielā komersanta statusam saskaņā ar šo noteikumu </w:t>
            </w:r>
            <w:r w:rsidR="00000000" w:rsidRPr="00000000" w:rsidDel="00000000">
              <w:rPr>
                <w:rtl w:val="0"/>
              </w:rPr>
              <w:t xml:space="preserve">2.6. </w:t>
            </w:r>
            <w:r w:rsidR="00000000" w:rsidRPr="00000000" w:rsidDel="00000000">
              <w:rPr>
                <w:rtl w:val="0"/>
              </w:rPr>
              <w:t xml:space="preserve">apakšpunktā</w:t>
            </w:r>
            <w:r w:rsidR="00000000" w:rsidRPr="00000000" w:rsidDel="00000000">
              <w:rPr>
                <w:rtl w:val="0"/>
              </w:rPr>
              <w:t xml:space="preserve"> noteikto. Kritērijs neattiecas uz šo noteikumu </w:t>
            </w:r>
            <w:r w:rsidR="00000000" w:rsidRPr="00000000" w:rsidDel="00000000">
              <w:rPr>
                <w:rtl w:val="0"/>
              </w:rPr>
              <w:t xml:space="preserve">34.1.3.</w:t>
            </w:r>
            <w:r w:rsidR="00000000" w:rsidRPr="00000000" w:rsidDel="00000000">
              <w:rPr>
                <w:rtl w:val="0"/>
              </w:rPr>
              <w:t xml:space="preserve"> un </w:t>
            </w:r>
            <w:r w:rsidR="00000000" w:rsidRPr="00000000" w:rsidDel="00000000">
              <w:rPr>
                <w:rtl w:val="0"/>
              </w:rPr>
              <w:t xml:space="preserve">34.1.4. </w:t>
            </w:r>
            <w:r w:rsidR="00000000" w:rsidRPr="00000000" w:rsidDel="00000000">
              <w:rPr>
                <w:rtl w:val="0"/>
              </w:rPr>
              <w:t xml:space="preserve">apakšpunktā</w:t>
            </w:r>
            <w:r w:rsidR="00000000" w:rsidRPr="00000000" w:rsidDel="00000000">
              <w:rPr>
                <w:rtl w:val="0"/>
              </w:rPr>
              <w:t xml:space="preserve"> noteiktajiem gala labuma guvējiem;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18. punktā ietvertajā noteikumu Nr. 10 34.2., 34.3. un 34.4.3. apakšpunktā vārdu "Kritērijs" aizstāt ar vārdiem "Šis nosacījums", ņemot vērā, ka 34. punkta ievaddaļā runa ir par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34.4.2. to neattiecas tāds attiecīgā jomā kompetentas institūcijas lēmums, prokurora priekšraksts par sodu vai tiesas spriedumu, kas stājies spēkā un kļuvis neapstrīdams un nepārsūdzams, tas nav atzīts par vainīgu un sodīts par pārkāpumu, kas izpaužas kā vienas vai vairāku personu nodarbināšana, ja tām nav nepieciešamās darba atļaujas vai ja tas nav tiesīgas uzturēties Eiropas Savienības dalībvalstī vai kā personas nodarbināšana bez rakstveidā noslēgta darba līguma, normatīvajos aktos noteiktajā termiņā neiesniedzot par šo personu informatīvo deklarāciju par darbiniekiem, kas iesniedzama par personām, kuras uzsāk darbu;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18. punktā ietverto noteikumu Nr. 10 34.4.2.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pirms vārdiem "to neattiecas" papildinot ar vārdu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skaidri un uztverami sasaistot norādi "uz to neattiecas tāds attiecīgā jomā kompetentas institūcijas lēmums, prokurora priekšraksts par sodu vai tiesas spriedumu, kas stājies spēkā un kļuvis neapstrīdams un nepārsūdzams" ar norādi, ka gala labuma guvējs "nav atzīts par vainīgu un sodīts par pārkāpumu, kas izpaužas kā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"34.4.2. gala labuma guvējs ar tādu attiecīgā jomā kompetentas institūcijas lēmumu, prokurora priekšrakstu par sodu vai tiesas spriedumu, kas stājies spēkā un kļuvis neapstrīdams un nepārsūdzams, ir atzīts par vainīgu un sodīts par pārkāpumu, kas izpaužas kā vienas vai vairāku personu nodarbināšana, ja tām nav nepieciešamās darba atļaujas vai ja tas nav tiesīgas uzturēties Eiropas Savienības dalībvalstī vai kā personas nodarbināšana bez rakstveidā noslēgta darba līguma, normatīvajos aktos noteiktajā termiņā neiesniedzot par šo personu informatīvo deklarāciju par darbiniekiem, kas iesniedzama par personām, kuras uzsāk darbu;"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Atbalsts tiek sniegts saskaņā ar Komisijas regulas Nr. </w:t>
            </w:r>
            <w:r w:rsidR="00000000" w:rsidRPr="00000000" w:rsidDel="00000000">
              <w:rPr>
                <w:rtl w:val="0"/>
              </w:rPr>
              <w:t xml:space="preserve">651/2014</w:t>
            </w:r>
            <w:r w:rsidR="00000000" w:rsidRPr="00000000" w:rsidDel="00000000">
              <w:rPr>
                <w:rtl w:val="0"/>
              </w:rPr>
              <w:t xml:space="preserve"> 14. pantu šo noteikumu </w:t>
            </w:r>
            <w:r w:rsidR="00000000" w:rsidRPr="00000000" w:rsidDel="00000000">
              <w:rPr>
                <w:rtl w:val="0"/>
              </w:rPr>
              <w:t xml:space="preserve">18.2.1.</w:t>
            </w:r>
            <w:r w:rsidR="00000000" w:rsidRPr="00000000" w:rsidDel="00000000">
              <w:rPr>
                <w:rtl w:val="0"/>
              </w:rPr>
              <w:t xml:space="preserve"> apakšpunktā</w:t>
            </w:r>
            <w:r w:rsidR="00000000" w:rsidRPr="00000000" w:rsidDel="00000000">
              <w:rPr>
                <w:rtl w:val="0"/>
              </w:rPr>
              <w:t xml:space="preserve"> minētajām izmaksām šo noteikumu </w:t>
            </w:r>
            <w:r w:rsidR="00000000" w:rsidRPr="00000000" w:rsidDel="00000000">
              <w:rPr>
                <w:rtl w:val="0"/>
              </w:rPr>
              <w:t xml:space="preserve">2.4. </w:t>
            </w:r>
            <w:r w:rsidR="00000000" w:rsidRPr="00000000" w:rsidDel="00000000">
              <w:rPr>
                <w:rtl w:val="0"/>
              </w:rPr>
              <w:t xml:space="preserve">apakšpunktā</w:t>
            </w:r>
            <w:r w:rsidR="00000000" w:rsidRPr="00000000" w:rsidDel="00000000">
              <w:rPr>
                <w:rtl w:val="0"/>
              </w:rPr>
              <w:t xml:space="preserve"> noteiktajam gala labuma guvējam, kas atbilst lielā komersanta statusam.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25. punktā svītrot vārdus "šo noteikumu 2.4. apakšpunktā noteiktajam",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60.5. Komisijas regulas Nr. </w:t>
            </w:r>
            <w:r w:rsidR="00000000" w:rsidRPr="00000000" w:rsidDel="00000000">
              <w:rPr>
                <w:rtl w:val="0"/>
              </w:rPr>
              <w:t xml:space="preserve">651/2014</w:t>
            </w:r>
            <w:r w:rsidR="00000000" w:rsidRPr="00000000" w:rsidDel="00000000">
              <w:rPr>
                <w:rtl w:val="0"/>
              </w:rPr>
              <w:t xml:space="preserve"> 1. panta 3. punktā noteiktajām neatbalstāmajām nozarēm un darbībām, ja tas pretendē uz atbalstu saskaņā ar Komisijas regulu Nr. 651/2014;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apvienot noteikumu Nr. 10 60.1. un 60.5. apakšpunktus, ņemot vērā, ka abos minētajos apakšpunktos regulēti līdzīgi un vienā grupā liekami izņēmumi.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Ja gala labuma guvējs darbojas kādā no šo noteikumu </w:t>
            </w:r>
            <w:r w:rsidR="00000000" w:rsidRPr="00000000" w:rsidDel="00000000">
              <w:rPr>
                <w:rtl w:val="0"/>
              </w:rPr>
              <w:t xml:space="preserve">79.</w:t>
            </w:r>
            <w:r w:rsidR="00000000" w:rsidRPr="00000000" w:rsidDel="00000000">
              <w:rPr>
                <w:rtl w:val="0"/>
              </w:rPr>
              <w:t xml:space="preserve"> punktā</w:t>
            </w:r>
            <w:r w:rsidR="00000000" w:rsidRPr="00000000" w:rsidDel="00000000">
              <w:rPr>
                <w:rtl w:val="0"/>
              </w:rPr>
              <w:t xml:space="preserve"> minētajām neatbalstāmajām nozarēm vai veic neatbalstāmās darbības, atbalstu drīkst piešķirt tikai tad, ja tiek skaidri nodalītas atbalstāmās darbības vai finanšu plūsmas no citu darbības nozaru finanšu plūsmas, nodrošinot, ka darbības izslēgtajās nozarēs negūst labumu no atbalsta saskaņā ar Komisijas regulas Nr. </w:t>
            </w:r>
            <w:r w:rsidR="00000000" w:rsidRPr="00000000" w:rsidDel="00000000">
              <w:rPr>
                <w:rtl w:val="0"/>
              </w:rPr>
              <w:t xml:space="preserve">1407/2013</w:t>
            </w:r>
            <w:r w:rsidR="00000000" w:rsidRPr="00000000" w:rsidDel="00000000">
              <w:rPr>
                <w:rtl w:val="0"/>
              </w:rPr>
              <w:t xml:space="preserve"> 1. panta 2. punktu vai Komisijas regulas Nr. </w:t>
            </w:r>
            <w:r w:rsidR="00000000" w:rsidRPr="00000000" w:rsidDel="00000000">
              <w:rPr>
                <w:rtl w:val="0"/>
              </w:rPr>
              <w:t xml:space="preserve">717/2014</w:t>
            </w:r>
            <w:r w:rsidR="00000000" w:rsidRPr="00000000" w:rsidDel="00000000">
              <w:rPr>
                <w:rtl w:val="0"/>
              </w:rPr>
              <w:t xml:space="preserve"> 1. pantu, vai Komisijas regulas Nr. </w:t>
            </w:r>
            <w:r w:rsidR="00000000" w:rsidRPr="00000000" w:rsidDel="00000000">
              <w:rPr>
                <w:rtl w:val="0"/>
              </w:rPr>
              <w:t xml:space="preserve">1408/2013</w:t>
            </w:r>
            <w:r w:rsidR="00000000" w:rsidRPr="00000000" w:rsidDel="00000000">
              <w:rPr>
                <w:rtl w:val="0"/>
              </w:rPr>
              <w:t xml:space="preserve"> 1.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36. punktā konkrētāk norādīt Komisijas regulas Nr. 717/2014 1. panta un Komisijas regulas Nr. 1408/2013 1. panta apakšvienību, kas paredz attiecīgo nosacījumu, tādējādi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08.06.2023.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08.06.2023.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