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4.1.2.8. pasākuma "Nevalstisko organizāciju iesaiste veselības veicināšanas un slimību profilakses pasākumu īstenošanā"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Projekta minimālā un maksimālā attiecināmo izmaksu summa par pasākumu īstenošanu vienā no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norādītajām jomām ir 300 000</w:t>
            </w:r>
            <w:r w:rsidR="00000000" w:rsidRPr="00000000" w:rsidDel="00000000">
              <w:rPr>
                <w:i w:val="1"/>
                <w:rtl w:val="0"/>
              </w:rPr>
              <w:t xml:space="preserve"> euro</w:t>
            </w:r>
            <w:r w:rsidR="00000000" w:rsidRPr="00000000" w:rsidDel="00000000">
              <w:rPr>
                <w:rtl w:val="0"/>
              </w:rPr>
              <w:t xml:space="preserve">, ja pasākumi tiek īstenoti vienā no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norādītajiem Latvijas plānošanas reģioniem. Projekta minimālā un maksimālā attiecināmo izmaksu summa par pasākumu īstenošanu vienā no šo noteikumu </w:t>
            </w:r>
            <w:r w:rsidR="00000000" w:rsidRPr="00000000" w:rsidDel="00000000">
              <w:rPr>
                <w:rtl w:val="0"/>
              </w:rPr>
              <w:t xml:space="preserve">17. </w:t>
            </w:r>
            <w:r w:rsidR="00000000" w:rsidRPr="00000000" w:rsidDel="00000000">
              <w:rPr>
                <w:rtl w:val="0"/>
              </w:rPr>
              <w:t xml:space="preserve">punktu</w:t>
            </w:r>
            <w:r w:rsidR="00000000" w:rsidRPr="00000000" w:rsidDel="00000000">
              <w:rPr>
                <w:rtl w:val="0"/>
              </w:rPr>
              <w:t xml:space="preserve"> punktā norādītajām jomām ir 1 500 000 </w:t>
            </w:r>
            <w:r w:rsidR="00000000" w:rsidRPr="00000000" w:rsidDel="00000000">
              <w:rPr>
                <w:i w:val="1"/>
                <w:rtl w:val="0"/>
              </w:rPr>
              <w:t xml:space="preserve">euro</w:t>
            </w:r>
            <w:r w:rsidR="00000000" w:rsidRPr="00000000" w:rsidDel="00000000">
              <w:rPr>
                <w:rtl w:val="0"/>
              </w:rPr>
              <w:t xml:space="preserve">, ja pasākumi tiek īstenoti visos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norādītajos Latvijas plānošanas reģionos.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tiesību normai ir jābūt skaidrai un nepārprotamai, lūdzam izvērtēt noteikumu projekta 10.punktā vārdu "minimāla un maksimālā" lietderību un aicinām izvērtēt iespēju tos svītrot. Ja minētie vārdi tiktu svītroti, tad tiesību norma skaidri noteiktu, ka noteikumu projekta 10.punkta pirmā teikuma gadījumā projekta attiecināmo izmaksu summa par pasākumu īstenošanu ir 300 000 </w:t>
            </w:r>
            <w:r w:rsidR="00000000" w:rsidRPr="00000000" w:rsidDel="00000000">
              <w:rPr>
                <w:i w:val="1"/>
                <w:rtl w:val="0"/>
              </w:rPr>
              <w:t xml:space="preserve">euro</w:t>
            </w:r>
            <w:r w:rsidR="00000000" w:rsidRPr="00000000" w:rsidDel="00000000">
              <w:rPr>
                <w:rtl w:val="0"/>
              </w:rPr>
              <w:t xml:space="preserve">, bet otrā teikuma gadījumā - 1 500 000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minētās atbalstāmās darbības ietvaros ir attiecināmas komunikācijas un vizuālās identitātes prasību un piekļūstamības nodrošināšanas izmaksas, lai izpildītu minētās prasības atbilstoši regulas Nr. 2021/1060 47. un 50. pantam un normatīvajiem aktiem, kas nosaka kārtību, kādā Eiropas Savienības fondu vadībā iesaistītās institūcijas nodrošina šo fondu ieviešanu 2021. – 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23.punktu izteikt piedāvātajā redakcijā, ņemot vērā, ka termins "piekļūstamība" nav attiecināms ne uz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47. un 50. pantā, ne uz normatīvajos aktos, kas nosaka kārtību, kādā Eiropas Savienības fondu vadībā iesaistītās institūcijas nodrošina šo fondu ieviešanu 2021. – 2027. gada plānošanas periodā, noteikto regulējumu. Vienlaikus aicinām papildināt noteikumu projekta 19.3. apakšpunktu ar norādi par "piekļūstamību", ņemot vērā, ka minētā tiesību norma ir savstarpēji saistīta ar noteikumu projekta 23. punktu, jo 23. punktā uz to atsaucas.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19.3. apakšpunktā minētās atbalstāmās darbības ietvaros ir attiecināmas komunikācijas un vizuālās identitātes prasību un piekļūstamības nodrošināšanas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noteikumu projekta ir svītrots uzstādījums, ka projektos uzkrās datus, par Eiropas Sociālā fonda Plus kopējiem iznākuma un tūlītējiem rezultāta rādītājiem, atbilstoši Regulas 2021/1057 I un II pielikumam, tad lūdzam sniegt skaidrojumu anotācijā, kāpēc 4.1.2.8. pasākuma "Nevalstisko organizāciju iesaiste veselības veicināšanas un slimību profilakses pasākumu īstenošanā" ietvaros netiks uzkrāta šāda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ja projektu iesniegumu atlasē neapstiprina projektu iesniegumus par visu projektu iesniegumu atlases kārtai pieejamo kopējo attiecināmo finansējumu, t.i. atlases gala rezultātā kādā no Latvijas reģioniem netiks nodrošināti pasākumi, tiks izsludināta nākamā projektu iesniegumu atlases kārta, par atlikušo finansējumu. Tādā veidā nodrošinot, ka pasākumi tiks īstenoti visos reģionos un abās jomās.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jāievēro demarkācija arī ar Eiropas Savienības kohēzijas politikas programmas 2021. – 2027. gadam 4.1.2.4.pasākumu "Pierādījumos balstītu narkotiku lietošanas profilakses programmu īstenošana un profilakses kvalitātes standartu ieviešana" un 4.3.4.7. pasākumu "Nodarbināmības priekšnosacījumu nodrošināšana ieslodzītajiem, pilnveidojot resocializācijas sistēmas efektivitāti, sekmējot bijušo ieslodzīto iekļaušanos, vienlīdzīgas iespējas un aktīvu līdzdalību".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sadaļā "1.3. Pašreizējā situācija, problēmas un risinājumi" svītrot informāciju par neto ieņēmumu uzraudzību, ņemot vērā, ka minētā Regula Nr.1303/2013 attiecas uz Eiropas Savienības fondu 2014.-2020.gada plānošanas periodu. Turklāt, ņemot vērā pasākuma mērķi un mērķa grupu, projektu ietvaros nav atbalstāma ieņēmumu gūšana (t.i., maksas pakalpojumi mērķa grupai vai dalības maksas noteikšana par mērķa grupas personu dalību pasākumos), projektā pasākumi mērķa grupai ir jānodrošina bez maksas, kā arī izstrādātajiem informatīvajiem materiāliem un pārējām aktivitātēm ir jābūt pieejamām mērķa grupai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kā faktiskās izmaksas ir plānotas tikai attiecināmās personāla izmaksas, bet pārējās projekta izmaksas plānots segt no vienotās likmes 40% apmērā, no kā izriet, ka sadarbības iestāde prasību nodrošināt atsevišķu grāmatvedības uzskaiti pārbaudīs tikai attiecībā uz attiecināmajām personāla izmaksām. Par pārējām projekta izmaksām izmaksu pamatojošie dokumenti, tai skaitā grāmatvedības uzskaite, netiks pieprasīti un pārbaudīti.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Bērziņa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24-TA-2667</w:t>
    </w:r>
    <w:r>
      <w:br/>
    </w:r>
    <w:r w:rsidR="00000000" w:rsidRPr="00000000" w:rsidDel="00000000">
      <w:rPr>
        <w:rtl w:val="0"/>
      </w:rPr>
      <w:t xml:space="preserve">Izdrukāts 29.11.2024. 15.25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24-TA-2667</w:t>
    </w:r>
    <w:r>
      <w:br/>
    </w:r>
    <w:r w:rsidR="00000000" w:rsidRPr="00000000" w:rsidDel="00000000">
      <w:rPr>
        <w:rtl w:val="0"/>
      </w:rPr>
      <w:t xml:space="preserve">Izdrukāts 29.11.2024. 15.25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Atzinumi_24-TA-2667.docx</dc:title>
</cp:coreProperties>
</file>

<file path=docProps/custom.xml><?xml version="1.0" encoding="utf-8"?>
<Properties xmlns="http://schemas.openxmlformats.org/officeDocument/2006/custom-properties" xmlns:vt="http://schemas.openxmlformats.org/officeDocument/2006/docPropsVTypes"/>
</file>