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2026.gadā Centrālajai vēlēšanu komisijai ne vairāk kā 142 506 euro un sākot ar 2027.gadu ne vairāk kā 134 510  euro gadā. Nepieciešamo finansējumu pieprasīt normatīvajos aktos noteiktajā kārtībā, ievērojot Likuma par budžetu un finanšu vadību 9.1 panta otro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projekta 5.1. un 5.2. apakšpunku, jo Likumam par budžetu un finanšu vadību nav 9.1 panta.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anotācijas 2.sadaļu, jo projektam ir ietekme uz Latvijas un Eiropas Savienības  pilsoņiem demokrātijas īstenošanai un līdzdalībai, aktīvākai iesaistei suverēnās varas realizācijai pašvaldībās sabiedrībai svarīgu un izšķirošu jautājumu izlemšanā vietējos pašvaldību referendumos.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Ņemot vērā minēto, lūdzam  precizēt anotācijas 7. sadaļu, jo nav sniegta informācijā kā projekts ietekmēs katru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aizpildīt anotācijas 7.2., 7.3. un 7.4. apakšpunktu, sniedzot informāciju, vai attiecīgajām institūcijām administratīvais slogs palielināsies, samazināsies vai paliks nemainīgs. Vēršam uzmanību, ka publiskai pārvaldei slogu aprēķina sākot no 1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2021. gada 7. septembra noteikumu Nr. 606 “Ministru kabineta kārtības rullis” 52.2.6.1 apakšpunktam aicinām projektu saskaņot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29.12.2023.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