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22-TA-3789: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13. decembra noteikumos Nr. 810 "Noteikumi par Iekšlietu ministrijas sistēmas iestāžu un Ieslodzījuma vietu pārvaldes amatpersonu ar speciālajām dienesta pakāpēm amatu klasifikāciju"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Noteikumu grozījumi, kas paredz ieslodzīto konvojēšanas kompetences daļēju pārņemšanu, stājas spēkā kopā ar grozījumiem Ieslodzījuma vietu pārvaldes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valdības nolemtajam Tieslietu ministrija nodrošina pakāpenisku ieslodzīto konvojēšanas kompetences pārņemšanu no Valsts policijas uz Ieslodzījuma vietu pārvaldi, izstrādājot grozījumus Ieslodzījuma vietu pārvaldes likumā. Projekta 23.punkta formulējums rada nepareizu priekšstatu, ka projekts ir izstrādāts, lai nodrošinātu konvoja kompetences pārņemšanas pamatu. Turklāt nav nepieciešams noteikt, ka projekta regulējums, kas skar jaunas amata vietas izveidi, stājas spēkā vēlāk. Tāpēc lūdzam svītrot projekta 23.punktu.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Škavronska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Iekšlietu ministrijas sistēmas iestāžu un Ieslodzījuma vietu pārvaldes amatpersonu ar speciālajām dienesta pakāpēm amatu katalogs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i w:val="1"/>
                <w:rtl w:val="0"/>
              </w:rPr>
              <w:t xml:space="preserve">Lūdzam nodrošināt projekta un tā anotācijas atbilstību Administratīvās atbildības likumam, kā arī izmantot vienotu, sistēmisku, precīzu un konsekventu pieeju amatu paraugaprakstu veidošanā saistībā ar administratīvā pārkāpuma procesu.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ievērojot Tieslietu ministrijas iepriekšējā atzinumā izteikto iebildumu, projekts acīmredzami ir precizēts, joprojām dažkārt vērojama dažāda pieeja amatu paraugaprakstu veidošanā, kā arī pastāv šaubas par regulējuma atbilstību Administratīvās atbildības 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norāde "kompetences ietvaros veic pienākumus administratīvā pārkāpuma procesā" neatklāj pienākumu apjomu un, iespējams, nozīmē, ka amatpersona veic administratīvā pārkāpuma procesu (līdzīgi "izskata un pieņem lēmumus administratīvo pārkāpumu lietās" u. tml.). Arī vārdi "kompetences ietvaros" šāda veida izteiksmēs ir lieki (amatpersona var rīkoties, tikai nepārkāpjot savu kompetenci). Savukārt vārdi "izpilda administratīvos sodus" (vecākā inspektora amats), domājams, varētu norādīt, ka amatpersona organizē un kontrolē nolēmuma par sodu izpildi. Jautājumus par atbilstību administratīvās atbildības sistēmai rada paraugapraksts "dod norādījumus par administratīvā pārkāpuma procesa izmeklēšanas izdarīšanu un atsevišķu darbību veikšanu".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atkārtoti izvērtēt Tieslietu ministrijas iepriekš izteikto iebildumu, tam atbilstošo regulējumu projektā un skaidrojumu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Sandis Vilcāns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22-TA-3789</w:t>
    </w:r>
    <w:r>
      <w:br/>
    </w:r>
    <w:r w:rsidR="00000000" w:rsidRPr="00000000" w:rsidDel="00000000">
      <w:rPr>
        <w:rtl w:val="0"/>
      </w:rPr>
      <w:t xml:space="preserve">Izdrukāts 05.06.2024. 20.17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22-TA-3789</w:t>
    </w:r>
    <w:r>
      <w:br/>
    </w:r>
    <w:r w:rsidR="00000000" w:rsidRPr="00000000" w:rsidDel="00000000">
      <w:rPr>
        <w:rtl w:val="0"/>
      </w:rPr>
      <w:t xml:space="preserve">Izdrukāts 05.06.2024. 20.17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Atzinumi_22-TA-3789.docx</dc:title>
</cp:coreProperties>
</file>

<file path=docProps/custom.xml><?xml version="1.0" encoding="utf-8"?>
<Properties xmlns="http://schemas.openxmlformats.org/officeDocument/2006/custom-properties" xmlns:vt="http://schemas.openxmlformats.org/officeDocument/2006/docPropsVTypes"/>
</file>