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09.02.2024. atzinumā izteica priekšlikumu precizēt likumprojekta anotāciju, ietverot tajā skaidrojumu, vai  likumprojektā ietvertie grozījumi attiecas vai neattiecas uz pašvaldību izglītības iestādēm, kuras īsteno pamatizglītības un vidējās izglītības programmas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precizētajā anotācijā minētais skaidrojums nav ietverts. Ņemot vērā minēto, lūdzam precizēt likumprojekta anotāciju un papildināt to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Škavronska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21.08.2024.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21.08.2024.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Atzinumi_24-TA-234.docx</dc:title>
</cp:coreProperties>
</file>

<file path=docProps/custom.xml><?xml version="1.0" encoding="utf-8"?>
<Properties xmlns="http://schemas.openxmlformats.org/officeDocument/2006/custom-properties" xmlns:vt="http://schemas.openxmlformats.org/officeDocument/2006/docPropsVTypes"/>
</file>