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aprīļa noteikumos Nr. 222 "Ēku energoefektivitātes aprēķina metodes un ēku energosertifikācijas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2.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Faktori, kas aprēķināti Latvijā saražotajai elektroenerģijai, pamatojoties uz aktuālāko Centrālās statistikas pārvaldes publicēto Latvijas enerģijas bilanci.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tabulas 17. un 18. rindu, aizstājot atsauci uz jaunu piezīmi, ņemot vērā, ka eksportētajai elektroenerģijai netiek piemēroti tie paši faktori, kas elektroenerģijai no tīkla. Lūdzam piezīmi izteikt šādā redakcijā: "Faktori, kas atbilst no attiecīgā energoresursa uz vietas saražotai elektroenerģijai".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atkārtoti aicina Ekonomikas ministriju izstrādāt nosacījumus (enerģijas patēriņš uz m</w:t>
            </w:r>
            <w:r w:rsidR="00000000" w:rsidRPr="00000000" w:rsidDel="00000000">
              <w:rPr>
                <w:vertAlign w:val="superscript"/>
                <w:rtl w:val="0"/>
              </w:rPr>
              <w:t xml:space="preserve">2</w:t>
            </w:r>
            <w:r w:rsidR="00000000" w:rsidRPr="00000000" w:rsidDel="00000000">
              <w:rPr>
                <w:rtl w:val="0"/>
              </w:rPr>
              <w:t xml:space="preserve">) dažāda lietojuma tipa ēkām, piemēram, ugunsdzēsēju depo, slimnīcas, izglītības iestādes, bibliotēkas, krātuves, muzeji, kas Ministrijas ieskatā nevar nodrošināt identisku enerģijas patēriņu uz m</w:t>
            </w:r>
            <w:r w:rsidR="00000000" w:rsidRPr="00000000" w:rsidDel="00000000">
              <w:rPr>
                <w:vertAlign w:val="superscript"/>
                <w:rtl w:val="0"/>
              </w:rPr>
              <w:t xml:space="preserve">2</w:t>
            </w:r>
            <w:r w:rsidR="00000000" w:rsidRPr="00000000" w:rsidDel="00000000">
              <w:rPr>
                <w:rtl w:val="0"/>
              </w:rPr>
              <w:t xml:space="preserve"> vienā ēku energoefektivitātes klasē. Šobrīd atsevišķas prasības ir slimnīcām, kas nav pietiekami, ņemot vērā dažādu ēku lietojumu un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tiesiskais regulējums ietekmē fiziskās un juridiskas personas, aicinām veikt anotācijas sadaļā 2.5. Atbilstības izmaksu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visā noteikumu projektā un anotācijā terminoloģiju uz "(ne)atjaunīgi energoresursi".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šajos noteikumos tiks paredzēts ēkas energosertifikāta globālās sasilšanas potenciāla aprēķins un tā metodoloģija.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ēkā ir uzstādīto inženiersistēmu enerģiju patērējošas iekārtas, kuras atbilst ekodizaina prasībām un kuru energomarķējums – vismaz A klasei, ja atbilstošas energomarķējuma prasības ir noteiktas normatīvajos aktos;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pamatotību dzēst 8.3. un 8.4. apakšpunktu un apsvērt iespēju atstāt šos apakšpunktus, kā fakultatīvus rādītājus gan jaunbūvēm, gan pārbūvētām vai atjaunotām esošajām ēkām. Inženiersistēmu enerģiju patērējošas iekārtu energomarķējums un iekštelpu vides kvalitātes standartu ievērošana netieši un pozitīvi ietekmē ēkas klasifikāciju kā gandrīz nulles enerģijas ēka.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Pārbūvētas vai atjaunotas esošas ēkas klasificējama kā gandrīz nulles enerģijas ēka, ja tā atbilst visām šādām prasībām: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Būvniecības informācijas sistēmā (BIS) papildus ēkas klasei tiek atzīmēta atbilstība gandrīz nulles enerģijas prasībām. Nepieciešams nodrošināt, lai BIS var atlasīt visas ēkas, kas atbilst gandrīz nulles enerģijas prasībām. Papildus vēršam uzmanību, ka nākotnē Ekonomikas ministrijai būs nepieciešamība izvērtēt jau pašreiz atjaunoto ēku atbilstību jaunajiem kritērijiem, tai skaitā publiskā sektora ēku saraksta kontekstā un Pārvaldības regulā noteiktajiem divgadējiem progresa ziņojumiem.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17.04.2026.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25-TA-2785</w:t>
    </w:r>
    <w:r>
      <w:br/>
    </w:r>
    <w:r w:rsidR="00000000" w:rsidRPr="00000000" w:rsidDel="00000000">
      <w:rPr>
        <w:rtl w:val="0"/>
      </w:rPr>
      <w:t xml:space="preserve">Izdrukāts 17.04.2026.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Atzinumi_25-TA-2785.docx</dc:title>
</cp:coreProperties>
</file>

<file path=docProps/custom.xml><?xml version="1.0" encoding="utf-8"?>
<Properties xmlns="http://schemas.openxmlformats.org/officeDocument/2006/custom-properties" xmlns:vt="http://schemas.openxmlformats.org/officeDocument/2006/docPropsVTypes"/>
</file>