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trīspusējās sarunās nav vienojušies par plānoto finansējuma pārdali no 4.2.3.2.pasākuma “Interešu izglītības, brīvā laika un bērnu pieskatīšanas pakalpojumu pieejamības paplašināšana sociālās atstumtības riskam pakļautiem izglītojamajiem un bērniem ar speciālām vajadzībām” - 11 870 693 euro. Lūdzam virzīt nepieciešamības gadījumā minētā pasākuma īstenošanu no cita avota.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īstenojot šo noteikumu </w:t>
            </w:r>
            <w:r w:rsidR="00000000" w:rsidRPr="00000000" w:rsidDel="00000000">
              <w:rPr>
                <w:rtl w:val="0"/>
              </w:rPr>
              <w:t xml:space="preserve">20.4. </w:t>
            </w:r>
            <w:r w:rsidR="00000000" w:rsidRPr="00000000" w:rsidDel="00000000">
              <w:rPr>
                <w:rtl w:val="0"/>
              </w:rPr>
              <w:t xml:space="preserve">apakšpunktā</w:t>
            </w:r>
            <w:r w:rsidR="00000000" w:rsidRPr="00000000" w:rsidDel="00000000">
              <w:rPr>
                <w:rtl w:val="0"/>
              </w:rPr>
              <w:t xml:space="preserve"> </w:t>
            </w:r>
            <w:r w:rsidR="00000000" w:rsidRPr="00000000" w:rsidDel="00000000">
              <w:rPr>
                <w:color w:val="#c0392b"/>
                <w:rtl w:val="0"/>
              </w:rPr>
              <w:t xml:space="preserve"> </w:t>
            </w:r>
            <w:r w:rsidR="00000000" w:rsidRPr="00000000" w:rsidDel="00000000">
              <w:rPr>
                <w:rtl w:val="0"/>
              </w:rPr>
              <w:t xml:space="preserve">minēto darbību, projekta īstenošanā var papildus iesaistīt sadarbības partnerus  augstākās izglītības iestādes un zinātniskās institūcijas vai pakalpojuma sniedzējus.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piedāvātā noteikumu punkta redakciju, jo nav saprotams jēdziens "pakalpojumu sniedzējs" (pakalpojumus var sniegt arī augstākās izglītības iestādes un zinātniskās institūcijas) un piesaistes veids - vai jebkura no piesaistītajām personām būs arī projekta sadarbības partneris vai arī tikai pakalpojuma sniegšanai iepirkta persona.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īstenojot šo noteikumu 20.4. apakšpunktā  minēto darbību, projekta īstenošanā var papildus iesaistīt pakalpojuma sniedzējus - augstākās izglītības iestādes, zinātniskās institūcijas vai citas juridiskas personas.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izglītības satura centrs savas kompetences ietvaros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minēto darbību var īstenot sadarbībā ar nacionālā līmeņa zinātnes, izglītības un kultūras institūciju - zinātnes universitāti.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pamatot konkrētās darbības īstenošanai ietvertā ierobežojuma samērīgumu - sadarbību ar zinātnes universitāti. Vēršam uzmanību, ka 20.1.punktā norādītās darbības (IKMS jaunu rīku izstrāde, rīku prototipu  digitalizācija, aprobācija, testēšana, ieviešana un pilnveide, kā arī esošo IKMS rīku pilnveide un attīstība atbilstoši to lietotāju vajadzībām) tvērums pirmsšķietami neietver fundamentālās zinātnes priekšrocības vai nav pietiekami pamatota anotācijā, tādējādi radot ierobežojumus piesaistīt arī plašāku specializētas kompetences iespējamo partneru loku. Atbilstoši anotācijā iekļautajai informācijai pētnieciskā pieredze (zinātniskās publikācijas, pētnieciski projekti) ir iespējami arī citās augstākās izglītības iestādēs. Savukārt zinātniskā kapacitāte norādīto darbu izstrādē pirmsšķietami nav nevienai augstskolai, ņemot vērā, ka norādīto darbu izstrādi veic Valsts izglītības satura centrs, savukārt analītiskā izvērtēšana ir viena no pētniecības darbībām, kas nebūtu ierobežojama ar izpēti tikai noteiktā izglītības līmenī.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21.39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21.39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