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(6.1.1.5. pasākuma "Nodarbināto prasmju paaugstināšana un atbalsts kvalifikācijas iegūšanai, atbalsts darbaspēka mācībām saskaņā ar uzņēmumu pieprasījumu" izmaksu ieguvumu analīze)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tiesību akta anotāciju ar atsauci, ka projekta īstenošanas ietvarā tiek veikti kvalitatīvie pasākumi DVB īstenošanai nepieciešamo uzņēmumu atlases kritēriju un iesaistes precizēšanai. Šobrīd anotācijā norādīts, ka atzinumus par DVB īstenošanas iespējām uzņēmumos izsniedz nozaru ekspertu padomes, taču ņemot vērā programmas plānoto ietekmi mācību īstenošanai DVB formātā, nepieciešams pilnveidot visu pušu sadarbību un kvalitātes nosacījumus šāda apjoma mācību norisei uzņēmumos.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30.01.2025.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30.01.2025.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Atzinumi_23-TA-874.docx</dc:title>
</cp:coreProperties>
</file>

<file path=docProps/custom.xml><?xml version="1.0" encoding="utf-8"?>
<Properties xmlns="http://schemas.openxmlformats.org/officeDocument/2006/custom-properties" xmlns:vt="http://schemas.openxmlformats.org/officeDocument/2006/docPropsVTypes"/>
</file>