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Atļauju izsniedz par traktortehniku ar maināmo tehnoloģisko agregātu vai maināmo velkamo iekārtu, kas nav paredzēta kravas vešanai, vai bez tiem, ja to kopējie parametri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38 .punkta  regulejuma izslēgti valsts vietējie autoceļi .  Atbilstoši Satiksmes ministrijas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autoceļu sakārtošanas programmas 2014. – 2023. gadam izpildi, valsts reģionālo un vietējo autoceļu būvniecības stratēģiju līdz 2027. gadam, kā arī valsts autoceļu tīkla izvērtējumu" ministrija ir norādijusi,ka  nepietiekamā finansējuma dēļ valsts vietējo autoceļu būvniecības darbi periodā no 2014. līdz 2020.gadam veikti 1300 km apjomā jeb uz 10% no visiem valsts vietējiem autoceļiem, .  Situācija nav mainijusis arī 2021 -2022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veiktajam 12 848 km valsts vietējo autoceļu atbilstības izvērtējumam, tika secināts, ka 11 604 km jeb 90,3% neatbilst valsts vietējā autoceļa statusam. Tas nozīmē ,ka šāda atļauja ir iespejama tikai 9.7 % valsts vietējo autoceļu.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Dalāmu kokmateriālu un lauksaimniecības produkcijas lielgabarīta un smagsvara pārvadājumu atļaujas neizsniedz pārvadājumu veikšanai pa valsts vietējas nozīmes ceļiem.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20.03.2023.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20.03.2023.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