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22-TA-1823: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Atveseļošanas un noturības mehānisma plāna 1.komponentes “Klimata pārmaiņas un vides ilgtspēja” 1.1. reformu un investīciju virziena “Emisiju samazināšana transporta sektorā” 1.1.1.r. reformas “Rīgas metropoles areāla transporta sistēmas zaļināšana” 1.1.1.3.i. investīcijas “Pilnveidota veloceļu infrastruktūra”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27.10.2022.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27.10.2022.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kārtību, kādā īsteno Eiropas Savienības Atveseļošanas un noturības mehānisma (turpmāk – AF) plāna komponentes Nr.1 “Klimata pārmaiņas un vides ilgtspēja” reformu un investīciju virziena 1.1 “Emisiju samazināšana transporta sektorā” 1.1.1.r. reformas “Rīgas metropoles areāla transporta sistēmas zaļināšana” 1.1.1.3.i. investīciju “Pilnveidota veloceļu infrastruktūra” (turpmāk – investīcija) un tās ietvaros apstiprinātos projektus;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ietvertas arī normas par attiecīgās investīcijas uzraudzības, ne vien īstenošanas kārtību, lūdzam atbilstoši papildināt noteikumu projekta 1.1.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ievērojot, ka noteikumu projekta 1.2.-1.11. apakšpunktā ietvertais saturs atbilst investīcijas īstenošanas un uzraudzības kārtībai, lūdzam noteikumu projekta 1.1. apakšpunktu ietvert 1. punkta ievaddaļā, atbilstoši precizējot 1. punkta tālāko apakšpunktu numerāciju.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finansējuma saņēmējus un to pienākumus;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ietverti investīcijas īstenošanā iesaistīto institūciju, kā arī finansējuma saņēmēja pienākumi un tiesības, lūdzam atbilstoši precizēt noteikumu projekta 1.5., 1.9. un 1.10. apakšpunktu. Kā arī ierosinām apvienot minētos apakšpunktus, ņemot vērā, ka būtībā minētajos apakšpunktos ietverta norāde uz vairāku tiesību subjektu kompetenci.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atbalstāmās darbības un attiecināmās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ietverti izmaksu attiecināmības nosacījumi, lūdzam atbilstoši precizēt noteikumu projekta 1.6.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nepieciešamā valsts budžeta finansējuma plānošanu un maksājumu veikšanu.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3. februāra noteikumu Nr. 108 "Normatīvo aktu projektu sagatavošanas noteikumi" (turpmāk - noteikumi Nr. 108) 3.3. apakšpunktam lūdzam svītrot noteikumu projekta 1.11. apakšpunktu kā noteikumu projekta 1.7. apakšpunktu dublējošu.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Uzraudzības rādītājs ir līdz 2024.gada 31.decembrim parakstīti iepirkuma līgumi par to kopējo veloinfrastruktūras garumu, kas jāizbūvē no jauna vai jāpārbūvē saskaņā ar pasākumu Nr. 1.1.1.3.i.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ar numuru 1.1.1.3.i. ir apzīmēta investīcija, nevis pasākums, kādēļ lūdzam izvērtēt un atbilstoši precizēt noteikumu projekta 5.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Investīcijas mērķa sasniedzamais kvantitatīvais rādītājs - līdz 2026.gada 31.maijam jaunizbūvētas vai atjaunotas veloinfrastruktūras garums Rīgas pilsētā un Pierīgā (daļa no Rīgas metropoles areāla) ir 52 km, tai skaitā šādos prioritāros koridoros: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noteikumu projekta anotācijas izriet, ka kopumā Rīgā un Pierīgā veloceļu infrastruktūru ir plānots attīstīt vienīgi noteikumu projekta 6. punktā minētajos maršrutos. Attiecīgi, ņemot vērā, ka noteikumu projekta 6. punktā paredzētie maršruti šobrīd norādīti piemērveidā ("tai skaitā"), lūdzam izvērtēt un svītrot minētajā punktā vārdus "tai skaitā" vai precizēt noteikumu projekta anotācijā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paredzētajā termiņā ir sasniegts investīcijas mērķa kvantitatīvais rādītājs;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vai tā anotācijā skaidrot, vai atbalstu saskaņā ar noteikumu projekta 10.1. apakšpunktu sniedz, ja sasniegts projektā paredzētais kvantitatīvais rādītājs vai sasniegts minētais rādītājs kopumā.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projektā nedrīkst būt iekļautas darbības, kas ir uzsāktas pirms 2020.gada 1.februāra, kā arī darbības, kas ir jau pabeigtas līdz 2021.gada 13.jūlijam.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skaidrot noteikumu projekta 10.2. apakšpunktā ietvertā regulējuma, kas pēc būtības paredz atbalstu sniegt gadījumā, ja projekta darbības ir pabeigtas līdz projekta iesnieguma apstiprināšanai, atbilstību Eiropas Parlamenta un Padomes 2021. gada 12. februāra regulai (ES) Nr. 2021/241 ar ko izveido Atveseļošanas un noturības mehānismu (turpmāk - regula Nr. 2021/241). Nepieciešamības gadījumā lūdzam precizēt noteikumu projekta 10.2.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Projekta iesniedzējs, kas pēc projekta iesnieguma apstiprināšanas ir arī finansējuma saņēmējs (turpmāk – finansējuma saņēmējs) projekta īstenošanai nepieciešamās informācijas iesniegšanu nodrošina Kohēzijas politikas fondu vadības informācijas sistēmā (turpmāk - Vadības informācijas sistēma).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norādīts, ja projekta iesnieguma iesniegšanas brīdī nav nodrošināta Vadības informācijas sistēma, projekta informāciju iesniedz Ministrijā elektroniska dokumenta veidā, parakstot to ar drošu elektronisko parakstu, kas satur laika zīmogu. Saistībā ar minēto lūdzam izvērtēt un salāgot noteikumu projekta anotācijā minēto ar noteikumu projekta 14.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Atbalsta piešķiršanas kārtības un projekta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noteikumu projekta nav skaidri saprotams, kuri ir projekta iesniegumu vērtēšanas kritēriji. Attiecīgi lūdzam atbilstoši precizēt noteikumu projektu, skaidri identificējot attiecīgos kritērijus, vai atbilstoši precizēt noteikumu projektā (tai skaitā 1. punktā) lietoto terminoloģiju.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Ministrija pēc šo noteikumu spēkā stāšanās nosūta katram finansējuma saņēmējam uzaicinājumu iesniegt projekta iesniegumu, kurā norāda: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izvertēt un noteikumu projekta 15. punktā norādīt konkrētu termiņu uzaicinājuma nosūtīšanai, 15.2. apakšpunktā - minimālo termiņu projekta iesnieguma iesniegšanai, bet 17. punktā - termiņu pārbaudes organizēšanai, tādējādi nodrošinot nepārprotamu attiecīgo normu izteiksmi, vai skaidrot noteikumu projekta anotācijā, kādēļ tas nav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Finansējuma saņēmējs iesniedz projekta iesniegumu, ievērojot šo noteikumu </w:t>
            </w:r>
            <w:r w:rsidR="00000000" w:rsidRPr="00000000" w:rsidDel="00000000">
              <w:rPr>
                <w:rtl w:val="0"/>
              </w:rPr>
              <w:t xml:space="preserve">14. </w:t>
            </w:r>
            <w:r w:rsidR="00000000" w:rsidRPr="00000000" w:rsidDel="00000000">
              <w:rPr>
                <w:rtl w:val="0"/>
              </w:rPr>
              <w:t xml:space="preserve">un </w:t>
            </w:r>
            <w:r w:rsidR="00000000" w:rsidRPr="00000000" w:rsidDel="00000000">
              <w:rPr>
                <w:rtl w:val="0"/>
              </w:rPr>
              <w:t xml:space="preserve">15. </w:t>
            </w:r>
            <w:r w:rsidR="00000000" w:rsidRPr="00000000" w:rsidDel="00000000">
              <w:rPr>
                <w:rtl w:val="0"/>
              </w:rPr>
              <w:t xml:space="preserve">punkta</w:t>
            </w:r>
            <w:r w:rsidR="00000000" w:rsidRPr="00000000" w:rsidDel="00000000">
              <w:rPr>
                <w:rtl w:val="0"/>
              </w:rPr>
              <w:t xml:space="preserve"> nosacījumus, pievienojot projekta iesniegumam izmaksu un ieguvumu analīzi un apliecinājumu, ka uz finansējuma saņēmēju neattiecas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minētie izslēgšanas kritēriji un projekts atbilst šajos noteikumos noteiktajiem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noteikumu projekta 14. punktu ar 16. punktu (arī 22. punktu u.c.) attiecībā uz to, no kura brīža projekta iesniedzējs kļūst par finansējuma saņēmēju.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Gadījumā, ja projekta iesniegumā informācija neatbilst šajos noteikumos noteiktajiem nosacījumiem, ir pretrunīga vai nepilnīga, Ministrija nosūta finansējuma saņēmējam pieprasījumu iesniegt precizētu projekta iesniegumu un informāciju, kas nepieciešama, lai izvērtētu projekta iesniegumu.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17. punkta apakšpunktus izdalīt kā atsevišķus noteikumu projekta punktus vai alternatīvi lūdzam šos apakšpunktus salāgot ar noteikumu projekta 17. punkta ievaddaļu, nodrošinot strukturāli skaidras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Aģentūra, saņemot pieprasījumu no Ministrijas, pārbauda, vai finansējuma saņēmējs neatbilst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minētajiem izslēgšanas kritērijiem un sniedz šo informāciju Ministrijai.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noteikumu projekta 17. punktu ar 18. punktu attiecībā uz to, kura iestāde pārbauda, vai projekta iesniedzējs neatbilst šo noteikumu 20. punktā minētajiem izslēgšanas kritērijiem. Norādām, ja aģentūra pārbauda attiecīgo apstākļu esību, tad nozares ministrija lēmumu par projektu varētu pieņemt, pamatojoties uz aģentūras atzinumu.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Aģentūra slēdz vienošanos par investīcijas projekta īstenošanu ar finansējuma saņēmēju, ievērojot kārtību par AF plāna īstenošanu un uzraudzību Aģentūras un finansējuma saņēmēja atbildības sadalījumu.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svītrot noteikumu projekta 21. punktā ietverto atsauci uz kārtību par AF plāna īstenošanu un uzraudzību Aģentūras un finansējuma saņēmēja atbildības sadalījumu. Norādām, ka attiecībā uz vienošanās noslēgšanas kārtību attiecīgie Ministru kabineta noteikumi neparedz tiesisko regulējumu saistībā ar atbildības sadalījumu, kā rezultātā 21. punktā ietvertā atsauce ir neskaidra.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Aģentūra slēdz vienošanos par investīcijas projekta īstenošanu ar finansējuma saņēmēju, ievērojot kārtību par AF plāna īstenošanu un uzraudzību Aģentūras un finansējuma saņēmēja atbildības sadalījumu.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21. punktā ietvert noteikumu Nr. 108 137. punktam atbilstošu atsauci uz normatīvo aktu 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24.8. transportbūvju un ielu tīklam piegulošo inženiertīklu būvniecības izmaksas ne vairāk kā 10% apmērā no projekta attiecināmo izmaksu kopsummas;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noteikumu projekta 24.8. apakšpunktu ar šī apakšpunkta tālākiem apakšpunktiem, tādējādi nodrošinot strukturāli skaidras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24.13. nekustamā īpašuma iegādes izmaksas ne vairāk kā 10% apmērā no attiecināmo izmaksu kopsummas, ja nekustamā īpašuma iegāde ir tieši nepieciešama projektā paredzēto darbību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noteikumu projekta 24.13. apakšpunktu. Norādām, ka nav skaidri saprotams, kā izpaužas nepieciešamība tieši noteiktu darbību īstenošanai. Tā vietā lūdzam norādīt uz to, ka iegāde ir nepieciešama un tieši saistīta ar projektā paredzēto darbību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Investīcijas īstenošanā atbalstāma vides prasību integrācija preču, pakalpojumu un būvdarbu iepirkumos (zaļais publiskais iepirkums), sociāli atbildīgs iepirkums, iepirkumus, veicot saskaņā ar normatīvajiem aktiem publisko iepirkumu jomā un organizējot atklātu, pārredzamu, nediskriminējošu un konkurenci neierobežojošu procedūru.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25. punktā pieturzīmi iekavas aizstāt ar pieturzīmi domuzīme, jo iekavās ietvertais teksts ir būtisks tiesību normas piemērošanā. Norādām, ka iekavās ietvertie skaidrojumi un precizējumi var padarīt tiesību aktu neskaidru un var sašaurināt vai paplašināt tiesību normas tvērumu.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Investīcijas īstenošanā atbalstāma vides prasību integrācija preču, pakalpojumu un būvdarbu iepirkumos (zaļais publiskais iepirkums), sociāli atbildīgs iepirkums, iepirkumus, veicot saskaņā ar normatīvajiem aktiem publisko iepirkumu jomā un organizējot atklātu, pārredzamu, nediskriminējošu un konkurenci neierobežojošu procedūru.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noteikumu projekta 25. punktā vai tā anotācijā skaidrot, vai nosacījums attiecībā uz vides prasību integrācija preču, pakalpojumu un būvdarbu iepirkumos (zaļais publiskais iepirkums), kā arī sociāli atbildīgu iepirkumu ir obligāti īstenojams. Ja attiecīgais nosacījums nav obligāti īstenojams, lūdzam to svītrot vai skaidrot noteikumu projekta anotācijā skaidrot attiecīgās normas juridisko slodzi.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Projekta ietvaros radušās izmaksas ir attiecināmas no AF pieejamā finansējuma, ja tās: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27. punktu nepieciešams izvērtēt un precizēt. Norādām, ka minētajā punktā ietvertie nosacījumi nav skaidri saprotami un korekti formulēti, tai skaitā nav skaidrs, kā projekta ietvaros radušās izmaksas var atbilst atbalstāmajām darbībām un mērķim u.tml. Ierosinām attiecīgos nosacījumus formulēt līdzīgi, kā tas darīts, piemēram, Ministru kabineta 2022. gada 4. oktobra noteikumos Nr. 619 "Eiropas Savienības Atveseļošanas un noturības mehānisma plāna 3.1.1.5.i investīcijas "Izglītības iestāžu infrastruktūras pilnveide un aprīkošana" īstenošanas 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27.5. nav radušās agrāk kā 2020.gada 1.februārī un vēlāk kā vienošanās par projekta īstenošanu noteiktajā termiņā, bet ne vēlāk kā 2026.gada 31.maijā;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10.2. apakšpunktu ar noteikumu projekta 27.5. apakšpunktu. Norādām, ka nav saprotams, kā darbības, kas ir pabeigta pēc 2021. gada 13. jūlija (līdz projekta iesnieguma apstiprināšanai), ietvaros var rasties izmaksas pēc vienošanās par projekta īstenošanas noslēgšanas.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27.6. ir pieejami visi izmaksu pamatojošie dokumenti;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noteikumu projekta 27.6. un 27.7. apakšpunktu ar 27. punkta ievaddaļu, tādējādi nodrošinot skaidras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Pievienotās vērtības nodoklis (turpmāk – PVN) nav attiecināms no AF finansējuma. PVN izmaksām ir jābūt iekļautām projekta ietvaros kā projekta sastāvdaļai.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28. punkta otro teikumu izteikt atbilstoši juridiskās tehnikas prasībām, norādot attiecīgā pienākuma subjektu, kā arī pienākumu izsakot darāmās kārtas formā ("iekļauj").</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Investīcijas ietvaros finansējuma saņēmējam ir pienākums nodrošināt AF plāna principa “Nenodarīt būtisku kaitējumu” novērtējumā noteiktās darbības, tai skaitā: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svītrot atsauces uz Atveseļošanas un noturības mehānisma plānu, tai skaitā uz tā pielikumā ietverto principa "Nenodarīt būtisku kaitējumu" novērtējumu, ņemot vērā, ka minētie dokumenti nav saistoši finansējuma saņēmējam. Tā vietā, piemēram, 30. punktā ierosinām norādīt, ka projekta darbības ir vērstas uz regulas 2021/241 5. panta 2. punktā un Eiropas Parlamenta un Padomes 2020. gada 18. jūnija Regulas (ES) 2020/852 par regulējuma izveidi ilgtspējīgu ieguldījumu veicināšanai un ar ko groza Regulu (ES) 2019/2088, 17. pantā minētā principa "nenodari būtisku kaitējumu" vides mērķu sasniegšanu un saistībā ar to paredzēt konkrētus un izsmeļošus finansējuma saņēmēja pienākumus.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30.5. investīcija paredz, ka ceļu būves veicēji nodrošina vismaz 70% (pēc svara) bīstamo būvniecības un nojaukšanas atkritumu, kas radušies būvlaukumā no ceļa un ar to saistītās uzlādes un degvielas uzpildes infrastruktūras būvniecības (izņemot dabā sastopamus materiālus, kas definēti kategorijas 17 05 04 Eiropas atkritumu sarakstā, kas izveidots ar </w:t>
            </w:r>
            <w:r w:rsidR="00000000" w:rsidRPr="00000000" w:rsidDel="00000000">
              <w:rPr>
                <w:rtl w:val="0"/>
              </w:rPr>
              <w:t xml:space="preserve">Komisijas Lēmumu (2000. gada 3. maijs), ar ko aizstāj Lēmumu 94/3/EK, ar kuru izveidots atkritumu saraksts saskaņā ar 1. panta a) punktu Padomes Direktīvā 75/442/EEK par atkritumiem, un Padomes Lēmumu 94/904/EK, ar kuru izveidots bīstamo atkritumu saraksts saskaņā ar 1. panta 4. punktu Padomes Direktīvā 91/689/EEK par bīstamajiem atkritumiem (paziņots ar dokumenta numuru C(2000) 1147)Dokuments attiecas uz EEZ</w:t>
            </w:r>
            <w:r w:rsidR="00000000" w:rsidRPr="00000000" w:rsidDel="00000000">
              <w:rPr>
                <w:rtl w:val="0"/>
              </w:rPr>
              <w:t xml:space="preserve">) sagatavošanu atkārtotai izmantošanai, pārstrādei un citiem materiālu atgūšanas veidiem, tostarp, izmantojot atkritumus citu materiālu aizstāšanai, saskaņā ar atkritumu hierarhiju un ES būvniecības un nojaukšanas atkritumu apsaimniekošanas protokolu;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noteikumu projekta 30.5. apakšpunktā atsauces uz Komisijas 2020. gada 3. maija Lēmumu 2000/532/EK, ar ko aizstāj Lēmumu 94/3/EK, ar kuru izveidots atkritumu saraksts saskaņā ar 1. panta a) punktu Padomes Direktīvā 75/442/EEK par atkritumiem, un Padomes Lēmumu 94/904/EK, ar kuru izveidots bīstamo atkritumu saraksts saskaņā ar 1. panta 4. punktu Padomes Direktīvā 91/689/EEK par bīstamajiem atkritumiem, vietā skaidrot attiecīgos dabā sastopamos materiālus, nepieciešamības gadījumā izdarot atsauces uz Ministru kabineta 2011. gada 19. aprīļa noteikumiem Nr. 302 "Noteikumi par atkritumu klasifikatoru un īpašībām, kuras padara atkritumus bīstamus" (vai normatīvo aktu 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30.5. investīcija paredz, ka ceļu būves veicēji nodrošina vismaz 70% (pēc svara) bīstamo būvniecības un nojaukšanas atkritumu, kas radušies būvlaukumā no ceļa un ar to saistītās uzlādes un degvielas uzpildes infrastruktūras būvniecības (izņemot dabā sastopamus materiālus, kas definēti kategorijas 17 05 04 Eiropas atkritumu sarakstā, kas izveidots ar </w:t>
            </w:r>
            <w:r w:rsidR="00000000" w:rsidRPr="00000000" w:rsidDel="00000000">
              <w:rPr>
                <w:rtl w:val="0"/>
              </w:rPr>
              <w:t xml:space="preserve">Komisijas Lēmumu (2000. gada 3. maijs), ar ko aizstāj Lēmumu 94/3/EK, ar kuru izveidots atkritumu saraksts saskaņā ar 1. panta a) punktu Padomes Direktīvā 75/442/EEK par atkritumiem, un Padomes Lēmumu 94/904/EK, ar kuru izveidots bīstamo atkritumu saraksts saskaņā ar 1. panta 4. punktu Padomes Direktīvā 91/689/EEK par bīstamajiem atkritumiem (paziņots ar dokumenta numuru C(2000) 1147)Dokuments attiecas uz EEZ</w:t>
            </w:r>
            <w:r w:rsidR="00000000" w:rsidRPr="00000000" w:rsidDel="00000000">
              <w:rPr>
                <w:rtl w:val="0"/>
              </w:rPr>
              <w:t xml:space="preserve">) sagatavošanu atkārtotai izmantošanai, pārstrādei un citiem materiālu atgūšanas veidiem, tostarp, izmantojot atkritumus citu materiālu aizstāšanai, saskaņā ar atkritumu hierarhiju un ES būvniecības un nojaukšanas atkritumu apsaimniekošanas protokolu;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projekta 30. punktā (u.c.) ietverta atsauce uz Eiropas Savienības būvniecības un nojaukšanas atkritumu apsaimniekošanas protokolu (turpmāk - protokols). Saistībā ar minēto lūdzam skaidrot attiecīgā dokumenta pieejamību un saistošo spēku finansējuma saņēmējam noteikumu projekta anotācijā. Kā arī lūdzam saskaņā ar noteikumu Nr. 108 131. punktu svītrot atsauci uz protokolu, nepieciešamības gadījumā tā prasības iestrādājot noteikumu projektā, tādējādi izvairoties no atsaucēm uz grūti pieejamiem Eiropas Savienības tiesību aktiem svešvalodā. Ja noteikumu projektā tiek iestrādātas minētā protokola prasības, lūdzam atbilstoši papildināt arī noteikumu projekta anotācijas 5. sadaļu, attiecīgu skaidrojumu sniedzot ailītē "Cita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Dokuments, kas apliecina projektā paredzētā rādītāja sasniegšanu ir akts par būves vai tās daļas pieņemšanu ekspluatācijā, ko izsniegusi institūcija, kura pilda būvvaldes funkcijas. Gadījumā, ja konkrētajā gadījumā institūcija, kura pilda būvvaldes funkcijas, šādu aktu neizsniedz, jo to neparedz normatīvie akti, dokuments, kas apliecina projektā paredzētā rādītāja sasniegšanu ir finansējuma saņēmēja apliecinājums par jaunas izbūvētas un pārbūvētas veloceļu infrastruktūras nodošanu ekspluatācijā, tai skaitā par atjaunoto, pilnveidoto un pielāgoto infrastruktūru.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 108 137. punktu lūdzam noteikumu projekta 32. punktā norādīt konkrētu normatīvo aktu 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 pēc vienošanās par projekta īstenošanu noslēgšanas iesniedz Aģentūrā, ievērojot </w:t>
            </w:r>
            <w:r w:rsidR="00000000" w:rsidRPr="00000000" w:rsidDel="00000000">
              <w:rPr>
                <w:rtl w:val="0"/>
              </w:rPr>
              <w:t xml:space="preserve">14. </w:t>
            </w:r>
            <w:r w:rsidR="00000000" w:rsidRPr="00000000" w:rsidDel="00000000">
              <w:rPr>
                <w:rtl w:val="0"/>
              </w:rPr>
              <w:t xml:space="preserve">punkta</w:t>
            </w:r>
            <w:r w:rsidR="00000000" w:rsidRPr="00000000" w:rsidDel="00000000">
              <w:rPr>
                <w:rtl w:val="0"/>
              </w:rPr>
              <w:t xml:space="preserve"> nosacījumus, plānoto avansa un maksājumu pieprasījumu iesniegšanas grafiku un iepirkumu plānu. Finansējuma saņēmējs projekta īstenošanas laikā aktualizē iepirkuma plānu, lai Iepirkumu uzraudzības birojs un Aģentūra varētu plānot resursus iepirkumu pirmspārbaudēm un pārbaudēm;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33.1. apakšpunktā svītrot norādi "lai Iepirkumu uzraudzības birojs un Aģentūra varētu plānot resursus iepirkumu pirmspārbaudēm un pārbaudēm", jo minētajai norādei nav juridiskas slodzes. Nepieciešamības gadījumā lūdzam attiecīgu skaidrojumu par plāna aktualizēšanas mērķi ietvert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33.4. atbilstoši kompetencei ievada divas reizes gadā Vadības informācijas sistēmā informāciju AF plāna īstenošanas progresa pusgada ziņojuma (saskaņā ar </w:t>
            </w:r>
            <w:r w:rsidR="00000000" w:rsidRPr="00000000" w:rsidDel="00000000">
              <w:rPr>
                <w:rtl w:val="0"/>
              </w:rPr>
              <w:t xml:space="preserve">Eiropas Parlamenta un Padomes 2021.gada 12.februāra regulas Nr.2021/241 ar ko izveido Atveseļošanas un noturības mehānismu</w:t>
            </w:r>
            <w:r w:rsidR="00000000" w:rsidRPr="00000000" w:rsidDel="00000000">
              <w:rPr>
                <w:rtl w:val="0"/>
              </w:rPr>
              <w:t xml:space="preserve"> </w:t>
            </w:r>
            <w:r w:rsidR="00000000" w:rsidRPr="00000000" w:rsidDel="00000000">
              <w:rPr>
                <w:rtl w:val="0"/>
              </w:rPr>
              <w:t xml:space="preserve">27.pantu</w:t>
            </w:r>
            <w:r w:rsidR="00000000" w:rsidRPr="00000000" w:rsidDel="00000000">
              <w:rPr>
                <w:rtl w:val="0"/>
              </w:rPr>
              <w:t xml:space="preserve">) sagatavošanai. Finansējuma saņēmējs informācijā norāda projekta progresa kopsavilkumu, tai skaitā, informāciju par iepirkumu statusu, lai nodrošinātu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minētā uzraudzības rādītāja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33.4. apakšpunktā paredzēt termiņus informācijas ievadīšanai (datumus līdz kuriem ievadāma informācija), tādējādi nodrošinot nepārprotamu attiecīgās normas izteiksmi.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34.2. slēdz vienošanās par investīciju projektu īstenošanu ar finansējuma saņēmējiem. Vienošanās iekļauj:</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noteikumu projektu, nedublējot tajā regulējumu, kas paredz, ka Aģentūra ar finansējuma saņēmēju slēdz vienošanos par projekta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34.4. veic pārbaudes projektu īstenošanas vietās;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34. punktā dublēt Ministru kabineta 2021. gada 7. septembra noteikumus Nr. 621 "Eiropas Savienības Atveseļošanas un noturības mehānisma plāna īstenošanas un uzraudzības kārtība". Tā vietā ierosinām norādīt vienīgi uz Aģentūras pienākumiem papildus minētajos noteikumos paredzētajiem.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Aģentūrai ir tiesības vienpusēji atkāpties no noslēgtās vienošanās ar finansējuma saņēmēju  jebkurā no šādiem gadījumiem: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lietot vienveidīgu un konsekventu terminoloģiju attiecībā uz to, vai noslēgta (arī īstenota) tiek vienošanās, vienošanās par projekta īstenošanu vai vienošanās par investīcijas projekta īstenošanu, tai skaitā noteikumu projektā (arī lēmuma projektā) norādot vienīgi uz projektu vai uz investīcijas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36.2. finansējuma saņēmējs var saņemt vairākus avansus. Viena avansa apmērs nepārsniedz 30% no kopējā projekta finansējuma, un tas ir jāapgūst sešu mēnešu laikā saimnieciskā gada ietvaros. Nākamo avansa pieprasījumu var iesniegt Aģentūrā pēc tam, kad iepriekšējais avanss ir apgūts pilnā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Paužam bažas, ka no noteikumu projekta 36.2. apakšpunkta nav skaidri saprotams, kā tiek ievērota 36. punkta ievaddaļā ietvertā prasība par to, ka avanss nevar pārsniegt 30 % no kopējām projekta izmaksām, ja 36.2. apakšpunkts paredz ierobežojumu 30 % apmērā no kopējā projekta finansējuma vienam avansam, kādēļ lūdzam izvērtēt un precizēt minēto apakšpunktu un sniegt atbilstošu skaidrojumu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Investīcijas ietvaros atbalsts tiek sniegts publiskās lietošanas infrastruktūrai, kas nav uzskatāms par komercdarbības atbalsta piešķiršanu.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39. punktu kā deklaratīvu un Komercdarbības atbalsta kontroles likuma normu piemērošanu skaidrojošu.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Ministrija nodrošina komunikācijas un publicitātes pasākumus saskaņā ar </w:t>
            </w:r>
            <w:r w:rsidR="00000000" w:rsidRPr="00000000" w:rsidDel="00000000">
              <w:rPr>
                <w:rtl w:val="0"/>
              </w:rPr>
              <w:t xml:space="preserve">Eiropas Parlamenta un Padomes 2021.gada 12.februāra Regulas (ES) 2021/241, ar ko izveido Atveseļošanas un noturības mehānismu</w:t>
            </w:r>
            <w:r w:rsidR="00000000" w:rsidRPr="00000000" w:rsidDel="00000000">
              <w:rPr>
                <w:rtl w:val="0"/>
              </w:rPr>
              <w:t xml:space="preserve"> </w:t>
            </w:r>
            <w:r w:rsidR="00000000" w:rsidRPr="00000000" w:rsidDel="00000000">
              <w:rPr>
                <w:rtl w:val="0"/>
              </w:rPr>
              <w:t xml:space="preserve">34.pantu</w:t>
            </w:r>
            <w:r w:rsidR="00000000" w:rsidRPr="00000000" w:rsidDel="00000000">
              <w:rPr>
                <w:rtl w:val="0"/>
              </w:rPr>
              <w:t xml:space="preserve"> un </w:t>
            </w:r>
            <w:r w:rsidR="00000000" w:rsidRPr="00000000" w:rsidDel="00000000">
              <w:rPr>
                <w:rtl w:val="0"/>
              </w:rPr>
              <w:t xml:space="preserve">Komisijas un Latvijas Republikas ATVESEĻOŠANAS UN NOTURĪBAS MEHĀNISMA FINANSĒŠANAS NOLĪGUMA</w:t>
            </w:r>
            <w:r w:rsidR="00000000" w:rsidRPr="00000000" w:rsidDel="00000000">
              <w:rPr>
                <w:rtl w:val="0"/>
              </w:rPr>
              <w:t xml:space="preserve"> </w:t>
            </w:r>
            <w:r w:rsidR="00000000" w:rsidRPr="00000000" w:rsidDel="00000000">
              <w:rPr>
                <w:rtl w:val="0"/>
              </w:rPr>
              <w:t xml:space="preserve">10.pantu</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noteikumu projekta 33.7. apakšpunktā, kā arī 40. punktā skaidrot (konkretizēt), kādi pasākumi katram no attiecīgajiem tiesību subjektiem ir jānodrošina, sniedzot atbilstošu skaidrojumu arī noteikumu projekta anotācijā. Papildus tiesiskās noteiktības nolūkā lūdzam izvērtēt un precizēt noteikumu projektu, konsekventi norādot, kādi pasākumi ir jānodrošina - informācijas un publicitātes, komunikācijas un publicitātes vai vienīgi publicitātes pasākumi -, nepieciešamības gadījumā noteikumu projekta anotācijā skaidrojot attiecīgo pasākumu saturu un tvērumu, tai skaitā to, kuri publicitātes pasākumi ir obligāti.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norādīts uz iesniegtiem priekšlikumiem Atveseļošanas un noturības mehānisma plāna grozījumiem, kuri paredz samazināt jaunizbūvētas vai atjaunotas veloinfrastruktūras garumu Rīgas pilsētā un Pierīgā no vismaz 60 km uz vismaz 52 km. Saistībā ar minēto lūdzam izvērtēt un noteikumu projektu iesniegt apstiprināšanai Ministru kabinetā vienīgi līdz ar attiecīgo grozījumu minētajā plānā spēkā stāšanos, nodrošinot, ka gadījumā, ja grozījumi netiktu apstiprināti, nebūtu nepieciešams izdarīt grozījumus noteikumu projektā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9.19. apakšpunktu, lūdzam precizēt (papildināt) noteikumu projekta anotācijas 5. sadaļā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precizējot informāciju 5. sadaļas 1. tabulā par regulas Nr. 2021/241 17. panta panta 2. punkta prasību ieviešanu noteikumu projektā, kas ir acīmredzami neprecīza, kā arī papildinot ar informāciju par minētās regulas prasību ieviešanu noteikumu projekta 20., 33.4., 33.5. un 40.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papildinot ar informāciju par 2021. gada 3. septembra Komisijas un Latvijas Republikas Atveseļošanas un noturības mehānisma finansēšanas nolīgumā paredzētajām saistībām, kuras ar noteikumu projektu paredzēts izpildīt, to būtību un konkrētiem veicamiem pasākumiem vai uzdevumiem, kas nepieciešami šo saistību izpildei.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kārtību, kādā īsteno Eiropas Savienības Atveseļošanas un noturības mehānisma (turpmāk – AF) plāna komponentes Nr.1 “Klimata pārmaiņas un vides ilgtspēja” reformu un investīciju virziena 1.1 “Emisiju samazināšana transporta sektorā” 1.1.1.r. reformas “Rīgas metropoles areāla transporta sistēmas zaļināšana” 1.1.1.3.i. investīciju “Pilnveidota veloceļu infrastruktūra” (turpmāk – investīcija) un tās ietvaros apstiprinātos projektus;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noteikumu projektā saīsinājumos neizmantot abreviatūras.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PVN izmaksas sedzamas no finansējuma saņēmēja līdzekļiem vai aizņēmuma Valsts kasē atbilstoši valsts budžeta likumā noteiktajiem nosacījumiem. Ja PVN izmaksas sedzamas no aizņēmuma Valsts kasē: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noteikumu projekta 29. punktā izdarīt korektu atsauci uz konkrētu likumu vai normatīvo aktu 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29.2. finansējuma saņēmējs nodrošina atsevišķu projekta izmaksu, tai skaitā PVN izmaksu, uzskaiti un nodalīšanu. Gadījumā, ja sākotnēji plānotais PVN apjoms būs lielāks, nekā faktiski nepieciešamais, finansējuma saņēmējs nodrošina pārmaksātā PVN atgriešanu Valsts kasē.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29.2. apakšpunktā (u.c. noteikumu projekta vienībās) lietot tagadnes formu.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30.5. investīcija paredz, ka ceļu būves veicēji nodrošina vismaz 70% (pēc svara) bīstamo būvniecības un nojaukšanas atkritumu, kas radušies būvlaukumā no ceļa un ar to saistītās uzlādes un degvielas uzpildes infrastruktūras būvniecības (izņemot dabā sastopamus materiālus, kas definēti kategorijas 17 05 04 Eiropas atkritumu sarakstā, kas izveidots ar </w:t>
            </w:r>
            <w:r w:rsidR="00000000" w:rsidRPr="00000000" w:rsidDel="00000000">
              <w:rPr>
                <w:rtl w:val="0"/>
              </w:rPr>
              <w:t xml:space="preserve">Komisijas Lēmumu (2000. gada 3. maijs), ar ko aizstāj Lēmumu 94/3/EK, ar kuru izveidots atkritumu saraksts saskaņā ar 1. panta a) punktu Padomes Direktīvā 75/442/EEK par atkritumiem, un Padomes Lēmumu 94/904/EK, ar kuru izveidots bīstamo atkritumu saraksts saskaņā ar 1. panta 4. punktu Padomes Direktīvā 91/689/EEK par bīstamajiem atkritumiem (paziņots ar dokumenta numuru C(2000) 1147)Dokuments attiecas uz EEZ</w:t>
            </w:r>
            <w:r w:rsidR="00000000" w:rsidRPr="00000000" w:rsidDel="00000000">
              <w:rPr>
                <w:rtl w:val="0"/>
              </w:rPr>
              <w:t xml:space="preserve">) sagatavošanu atkārtotai izmantošanai, pārstrādei un citiem materiālu atgūšanas veidiem, tostarp, izmantojot atkritumus citu materiālu aizstāšanai, saskaņā ar atkritumu hierarhiju un ES būvniecības un nojaukšanas atkritumu apsaimniekošanas protokolu;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20. punktā atsauci uz Eiropas Savienības lēmumu izteikt atbilstoši juridiskās tehnikas prasībām, attiecīgā lēmuma pieņemšanas datumu norādot pēc izdevējinstitūcijas, neizmantojot pieturzīmi iekavas, kā arī svītrojot informāciju, kas neizriet no lēmuma nosaukuma (paziņošanas numurs, attiecināmība uz EEZ).</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Atbalstīt investīcijas īstenošanai nepieciešamo priekšfinansējumu līdz 31 062 607,20 euro apmērā avansa un starpposma izmaksu segšanai no valsts budžeta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lēmuma projektā nav atrunāts saīsinājums "investīcija", atbilstoši juridiskās tehnikas prasībām lūdzam minētajā punktā lietot pilnu attiecīgās investīcijas nosaukumu, nepieciešamības gadījumā atrunājot atbilstošu saīsinājumu.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22-TA-1823</w:t>
    </w:r>
    <w:r>
      <w:br/>
    </w:r>
    <w:r w:rsidR="00000000" w:rsidRPr="00000000" w:rsidDel="00000000">
      <w:rPr>
        <w:rtl w:val="0"/>
      </w:rPr>
      <w:t xml:space="preserve">Izdrukāts 27.10.2022. 16.27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22-TA-1823</w:t>
    </w:r>
    <w:r>
      <w:br/>
    </w:r>
    <w:r w:rsidR="00000000" w:rsidRPr="00000000" w:rsidDel="00000000">
      <w:rPr>
        <w:rtl w:val="0"/>
      </w:rPr>
      <w:t xml:space="preserve">Izdrukāts 27.10.2022. 16.27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Atzinumi_22-TA-1823.docx</dc:title>
</cp:coreProperties>
</file>

<file path=docProps/custom.xml><?xml version="1.0" encoding="utf-8"?>
<Properties xmlns="http://schemas.openxmlformats.org/officeDocument/2006/custom-properties" xmlns:vt="http://schemas.openxmlformats.org/officeDocument/2006/docPropsVTypes"/>
</file>