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26-TA-776: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identificētajām problēmām, riskiem un iespējām, plānojot izmaiņas valsts un pašvaldību institūciju amatpersonu un darbinieku mainīgās atlīdzības daļas ierobežojumiem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netiek pieminētas vai norādītas nekādas ieceres vai darbības, kas būtu vērstas uz vienlīdzīgas darba samaksas (konkrēti mēnešalgas) noteikšanu valsts pārvaldē strādājošajiem, kuri veic līdzīgus vai vienādus amata/darba pienākumus dažādās iestādēs. Esošā darba samaksas sistēma un apstiprinātā algas noteikšanas skala pieļauj ievērojamas manevrēšanas iespējas algas noteikšanā vienas mēnešalgu grupas ietvaros, ņemot vērā katras iestādes pieejamos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Vienlaicīga mēnešalgu bāzes likmju iesaldēšana un mainīgās atlīdzības daļas (prēmiju un naudas balvu) ierobežošana liedz Datu valsts inspekcijai (turpmāk - DVI) iespēju izmantot finanšu motivācijas instrumentus. Tas vājina DVI konkurētspēju kvalificētu speciālistu piesaistē un noturēšanā, īpaši attiecībā uz speciālistiem, kas ir pieprasīti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Ilgstoši vakanto amata vietu likvidēšana un finansējuma samazināšana apstākļos (jo daļa finansējuma par ilgstoši vakantajām amata vietām tiek noņemta), kad DVI funkciju apjoms nemazinās vai pat pieaug (nosakot jaunus uzdevumus un kompetences), rada papildu slodzi esošajiem darbiniekiem. Pieaugot esošo darbinieku pārslodzei, palielinās izdegšanas un personāla mainības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resursu un motivācijas rīku mazināšana vājina DVI spēju nodrošināt kvalitatīvu, profesionālu un savlaicīgu valsts pārvaldes uzdevumu izpildi, kas ilgtermiņā var negatīvi ietekmēt DVI darbības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aspekti ir attiecināmi arī uz citām valsts pārvaldes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23.04.2026. 19.02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23.04.2026. 19.02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Atzinumi_26-TA-776.docx</dc:title>
</cp:coreProperties>
</file>

<file path=docProps/custom.xml><?xml version="1.0" encoding="utf-8"?>
<Properties xmlns="http://schemas.openxmlformats.org/officeDocument/2006/custom-properties" xmlns:vt="http://schemas.openxmlformats.org/officeDocument/2006/docPropsVTypes"/>
</file>