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Līgumā par zemes lietošanas tiesību aprobežošanu paredz, ka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inženierbūvi pārvieto par inženierbūves īpašnieka vai tiesiskā valdītāja līdzekļiem, ja zeme nepieciešama dzelzceļa infrastruktūras attīstībai, pārvaldītāja darbības nodrošināšanai vai normatīvajos aktos noteikto publisko funkciju veikšanai, ja puses līgumā nevienojas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precizētajā Noteikumu projekta 12.punktā, kuras sākotnējā redakcijā imperatīvi bija noteikts, ka publiskās lietošanas dzelzceļa infrastruktūras zemes nodalījuma joslā esošās inženierbūves pārvieto par to īpašnieka vai tiesiskā valdītāja līdzekļiem, šobrīd ir iekļauta atruna, ka puses var vienoties par citu kārtību, papildus tiesību akta projekta izziņā skaidrojot, ka nozīmīgos, valstiskos būvprojektos var neiekļaut līgumā inženierbūves īpašniekam vai tiesiskam valdītājam pienākumu kompensēt inženierbūves pārvietošanas izmaksas gadījumos, kad zeme nepieciešama dzelzceļa infrastruktūras attīstībai, pārvaldītāja darbības nodrošināšanai vai normatīvajos aktos noteikto publisko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un AS "Augstsprieguma tīkls" ieskatā arī precizētā Noteikumu projekta 12.punkta redakcija nenodrošinās valsts publiskās lietošanas dzelzceļa infrastruktūras pārvaldītāja un inženierbūvju īpašnieku tiesību taisnīgu tiesisko līdzsvaru un noregulējumu, jo, ņemot vērā līdzšinējo praksi, ir ļoti maza iespējamība, ka dzelzceļa zemes nodalījuma joslas pārvaldītājs piekritīs atkāpties no Noteikumu projektā vispārīgi noteiktās kārtības pārvietot inženierbūves par tās īpašnieka vai tiesiskā valdītāja līdzekļiem un vienosies par citu kārtību, kas atbilstu šobrīd spēkā esošā Enerģētikas likuma 23.panta otrajai daļai, ka paredz, ka esošo energoapgādes komersantu objektu pārvietošanu pēc pamatotas nekustamā īpašuma īpašnieka prasības par nekustamā īpašuma īpašnieka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uzturam iebildumus un neatbalstam Noteikumu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Līckrastiņa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06.07.2023.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06.07.2023.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