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panta pirmās daļas pirmo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mežaudze ir sasniegusi šādu galvenās cirtes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Valdošā koku suga                                         Galvenās cirtes vecums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Ozols, lapegle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Priede, osis, liepa, goba, vīksna un kļava                           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Egle, bērzs, melnalksnis                                                   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cirtes vecuma maiņa ir lēmums ar neatgriezeniskām sekām, kas ietekmē ainavu un publisko vidi. Šādu izmaiņu pieņemšana bez SIVN un sabiedriskās apspriešanas neatbilst ANO Orhūsas konvencijas un Valsts pārvaldes iekārtas likuma prasībām par līdzdalību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grozījumu virzības apstiprināšanai lūdzam nodrošināt sabiedrisko apspriešanu.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Turlaja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36.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Mežsaimnieciskā darbība, ko veic atbilstoši šim likumam, atzīstama par atbilstošu normatīvo aktu prasībām sugu un biotopu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kas vispārīgi atzīst mežsaimniecisko darbību par atbilstošu sugu un biotopu aizsardzības prasībām, faktiski rada atbilstības prezumpciju un var ierobežot sabiedrības tiesības apstrīdēt individuālus lēmumus. Tas nav savienojams ar ANO Orhūsas konvencijas 9. pantu un piekļuves tiesai nodrošināšanu. Lūdzam dzēst dzēst šo panta redakciju vai aizstāt ar tādu, kas skaidri norāda, ka mežsaimnieciskā darbība īstenojama, ievērojot vides aizsardzības normatīvos aktus, neierobežojot sabiedrības tiesības uz informāciju, līdzdalību un pieeju tiesai.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Mežsaimnieciskā darbība īstenojama, ievērojot vides aizsardzības normatīvos aktus, neierobežojot sabiedrības tiesības uz informāciju, līdzdalību un pieeju tiesai.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Turlaja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iebilst pret likumprojekta virzību bez stratēģiskā ietekmes uz vidi novērtējuma (SIVN) un pilnvērtīgas sabiedrības līdzdalības nodrošināšanas. Plānotās izmaiņas rada neatgriezenisku ietekmi uz vidi un publisko telpu; šādās situācijās sabiedrībai ir jābūt iespējai saņemt informāciju un piedalīties lēmumu pieņemšanā pirms lēmuma pieņemšanas. Īsais saskaņošanas termiņš nav samērīgs un neļauj nodrošināt jēgpilnu līdzdalību. Šāda pieeja neatbilst likumam “Par ietekmes uz vidi novērtējumu” (t. sk. SIVN prasībām), ANO Orhusas konvencijai (1., 6. un 9. pants) un Valsts pārvaldes iekārtas likumam (labas pārvaldības un atklātības principi, pienākums nodrošināt publisku apspriešanu sabiedrībai svarīgos jautājumos). Jāņem vērā, ka Satversmes tiesas 2024. gada 8. aprīļa spriedumā lietā Nr. 2023-01-03 ir uzsvērta nepieciešamība nodrošināt ietekmes uz vidi izvērtējumu un sabiedrības līdzdalību tiesiski nozīmīgu grozījumu virzībā.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Turlaja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ka sabiedrības līdzdalība uz projektu “neattiecas”, nav pieļaujama. Sabiedrības tiesības uz līdzdalību šādos jautājumos nav iestādes labas gribas žests, bet no starptautiskajām saistībām un nacionālās tiesību sistēmas izrietošs pienākums (skat., Kultūras ministrijas 1.iebildumu par grozījumu projektu). Pašvaldību normatīvais regulējums nevar aizstāt vai ierobežot šīs tiesības. Lūdzam noteikt sabiedrisko apspriešanu atbilstoši normatīvajos aktos par sabiedrības līdzdalību noteiktajai kārtību un skaidru informēšanas kārtību; izņēmumus paredzēt tikai objektīvi pamatotos gadījumos (piemēram, avārijas stāvoklis), nodrošinot informēšanu pēc lēmuma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sabiedrības līdzdalību un sniegt anotācijā informāciju par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Turlaja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