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 Reformu un investīciju virziena īstenošanā un uzraudzībā iesaistīto institūciju pienākumi un atbildība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noteikumu projektā iekļauti visi nosacījumi, kas, īstenojot projektus, ir jāievēro īstenošanā un uzraudzībā iesaistītajām institūcijām, aicinām izvērtēt iespēju papildināt noteikumu projektu ar nosacījumu, ka projekta ietvaros izstrādātos un/vai pilnveidotos IKT risinājumus, kas tiek izmantoti tādu funkciju vai pārvaldes uzdevumu nodrošināšanai, kuri nav saistīti ar saimniecisko darbību, ieguldījumu nolietojuma periodā ir pieļaujams izmantot papildinošu saimniecisku darbību veikšanai 20 % apmērā no IKT risinājuma gada jaudas laika vai finanšu izteiksmē, nodrošinot, ka atbalsts pasākuma ietvaros netiktu kvalificēts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papildinošu saimniecisko darbību saprot darbības, kas ir tieši saistītas ar IKT risinājuma galveno ar saimniecisko darbību nesaistīto izmantojumu, patērējot tādu pašu resursu (piemēram, materiālus, aprīkojumu, darbaspēku un pamatkapitālu) kā ar saimniecisko darbību nesaistītām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pasākums tiek papildināts ar papildinošas saimnieciskas darbības veikšanas iespēju, jāparedz arī, protams, uzraudzības pasākumi. Un papildus lūdzam papildināt arī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tiek plānota papildinoša saimnieciskā darbība, kas nepārsniedz 20% apmēru no IKT risinājuma gada jaudas laika vai finanšu izteiksmē, informācija par to tiek iekļauta Ministru kabineta rīkojuma projektā par projekta īstenošanu (anotācijā un projekta pasē).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24.10.2024.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24.10.2024.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Atzinumi_24-TA-1681.docx</dc:title>
</cp:coreProperties>
</file>

<file path=docProps/custom.xml><?xml version="1.0" encoding="utf-8"?>
<Properties xmlns="http://schemas.openxmlformats.org/officeDocument/2006/custom-properties" xmlns:vt="http://schemas.openxmlformats.org/officeDocument/2006/docPropsVTypes"/>
</file>