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noteikumu projekts "Publisko elektronisko sakaru tīklu 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integritāte – informācijas un tās apstrādes metožu precizitāte, pareizība un pilnīgums;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 punktā ietverto iebildumu attiecībā uz noteikumu projekta 2.4.-2.6. apakšpunktā ietvertajiem terminu skaidrojumiem. Norādām, ka atbilstoši juridiskās tehnikas prasībām Ministru kabineta noteikumos neskaidro terminus, ja tie skaidroti </w:t>
            </w:r>
            <w:r w:rsidR="00000000" w:rsidRPr="00000000" w:rsidDel="00000000">
              <w:rPr>
                <w:u w:val="single"/>
                <w:rtl w:val="0"/>
              </w:rPr>
              <w:t xml:space="preserve">vai lietoti augstāka juridiskā spēka normatīvajā aktā</w:t>
            </w:r>
            <w:r w:rsidR="00000000" w:rsidRPr="00000000" w:rsidDel="00000000">
              <w:rPr>
                <w:rtl w:val="0"/>
              </w:rPr>
              <w:t xml:space="preserve">. Attiecīgi izziņā ietvertā norāde, ka 2.4.-2.6. apakšpunktos minētie termini ne visi tiek skaidroti citos normatīvajos aktos, nav korekta, jo visi attiecīgie termini ir lietoti Informācijas tehnoloģiju drošības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 drošības risku pārvaldības sistēma tiek dokumentēta, un informācija tiek pastāvīgi uzlabota, pamatojoties uz gūtajām atziņām, kas uzkrātas publisko elektronisko sakaru tīklu izmantošanas un uzraudzības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 apakšpunktā norādīt konkrētas darbības, kā izpaužas attiecīgais pienākums,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4.7.</w:t>
            </w:r>
            <w:r w:rsidR="00000000" w:rsidRPr="00000000" w:rsidDel="00000000">
              <w:rPr>
                <w:rtl w:val="0"/>
              </w:rPr>
              <w:t xml:space="preserve"> apakšpunktā minētā prasība izstrādāt rīcības plānu publiskā elektronisko sakaru tīkla nepārtrauktas darbības nodrošināšanai neattiecas uz informācijas tehnoloģiju kritiskās infrastruktūras īpašniekiem vai tiesiskajiem valdītājiem.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anotāciju papildināt ar pamatotu skaidrojumu par noteikumu projekta 8. punktā ietvertā izņēmuma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Publisko elektronisko sakaru tīklu īpašnieka pienākumi incidentu novēršanas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6. punktā ietverto iebildumu. Norādām, ka atšķirīgs subjektu loku attiecīgajiem normatīvajiem aktiem pats par sevi nav pietiekams pamatojums augstāka juridiskā spēka normatīvajā aktā ietverta regulējuma dublēšanai noteikumu projektā (nav arī skaidrs, vai noteikumu projektā regulēto tiesisko attiecību subjektu loks ir plašāks par Informācijas tehnoloģiju drošības likumā noteikto), kā arī atkārtoti vēršam uzmanību arī uz to, ka noteikumu projekta 9. un 10. punktā ietvertais regulējums pārsniedz Elektronisko sakaru likuma 8. panta pirmajā un otrajā daļā noteiktā pilnvarojuma robežas, par ko tai skaitā izziņā nav sniegts atbilstošs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trešās valsts vai to atbalstošu subjektu īstenotas agresīvas darbības ES, NATO vai EEZ dalībvalsts kibertelpā;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kas ir saprotams ar trešās valsts atbalstošiem subjektiem un kādas darbības varētu kvalificētām agresīvām darbības ES, NATO vai EEZ dalībvalsts kibertelpā.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partnerdienestiem vai informācijas tehnoloģijas drošības incidentu novēršanas institūcijām saņemtā informācija par iekārtas vai programmatūras izstrādātāju, ražotāju, izplatītāju vai ārpakalpojuma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12.5. apakšpunktā konkretizēt (precīzāk noteikt), kāda informācija no attiecīgajiem dienestiem vai institūcijām ir ņemama vērā,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CERT.LV un Satversmes aizsardzības birojam ir tiesības pieprasīt publiskā elektronisko sakaru tīkla īpašniekam vai tiesiskajam valdītājam papildu informāciju, kā arī sniegto informāciju pārbaudīt jebkurā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 punktā ietverto iebildumu lūdzam papildināt noteikumu projekta anotācijā ietverto skaidrojumu. Norādām, ka anotācijā šobrīd norādīts vienīgi uz dokumentiem un informāciju par iepirkumu procesu, tomēr joprojām nav gūstama pārliecība, tai skaitā, vai šāda informācija var ietvert arī fizisko personu datus, kā arī no anotācijā saturiski skaidrotā viena piemēra nav gūstama pārliecība par informācijas iegūšanas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Publiskā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11.</w:t>
            </w:r>
            <w:r w:rsidR="00000000" w:rsidRPr="00000000" w:rsidDel="00000000">
              <w:rPr>
                <w:rtl w:val="0"/>
              </w:rPr>
              <w:t xml:space="preserve">  punktā minētā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punkta un tā anotācijas joprojām nav skaidra nepieciešamība atsaukties uz publiskā elektronisko sakaru tīkliem, kuri šo noteikumu spēkā stāšanās brīdī ir nodoti ekspluatācijā, vai atrodas projektēšanas, būvniecības, ierīkošanas, pārbūves stadijā, jo nav saprotams, kādus konkrēti publiskā elektronisko sakaru tīklus 30. punktā ietvertais regulējums neskar un kāds tam ir pamatojums. Attiecīgi atkārtoti lūdzam noteikumu projekta 30. punktā norādīt vispārīgi uz publiskā elektronisko sakaru tīkliem vai noteikumu projekta anotācijā sniegt atbilstošu skaidrojumu par minēto, t.i., uz kādiem publiskā elektroniskā sakaru tīkliem 30. punkta regulējums neattiecas, attiecīgo risinājumu atbilstoši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neizmantot tādus ārpakalpojumus, par kuriem ir saņemts Satversmes aizsardzības biroja atzinums, ka to izmantošana var radīt draudus nacionālajai drošībai, tiek piemērota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30.2. apakšpunktu, atbilstoši precizējot 30. punkta struktūru (t.i., neizdalot apakšpunktus). Norādām, ka atbilstoši juridiskās tehnikas prasībām tiesību normas piemērošanas kārtība norādāma vienīgi gadījumā, ja tā atšķiras no vispārējās kārtības (t.i., ka norma piemērojama no tās spēkā stāšanās brīža). Nepieciešamības gadījumā lūdzam atbilstošu skaidrojumu par attiecīgo kārtību sniegt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pielikuma 1.11. punktu, kur ietverta atsauce uz to pašu apakšpunktu, ņemot vērā, ka virtualizācija, uz kuru norādīts 1.11. apakšpunktā, norādīta 1.10.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pielikuma 2. punktā ietvertās atsauces uz 3. paaudzes partnerības projekta tehniskajām specifikācijām TS 23.002, tai skaitā skaidrojot šo specifikāciju saistošo spēku un pieejamību publiskā elektronisko sakaru tīkla īpašniekiem. Ja atbilstošu skaidrojumu nav iespējams sniegt, lūdzam atbilstoši Ministru kabineta 2009. gada 3. februāra noteikumu Nr. 108 "Normatīvo aktu projektu sagatavošanas noteikumi" 131. punktam svītrot minētās atsauces, tā vietā nepieciešamības gadījumā pārņemot attiecīgās tehniskās specifikācijas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9. punktā ietverto iebildumu un lūdzam noteikumu projektā izdarīt informatīvo atsauci uz Eiropas Parlamenta un Padomes 2018. gada 11. decembra direktīvu Nr. 2018/1972/ES par Eiropas Elektronisko sakaru kodeksa izveidi  vai precizēt noteikumu projekta anotācijā ietverto informāciju. Proti, norādām, lai gan izziņā norādīts, ka attiecīgās direktīvas pārņemšana notikusi līdz ar Elektronisko sakaru likuma izstrādi, noteikumu projekta anotācijā, tai skaitā 5. sadaļā pretēji minētajam norādīts uz konkrētu attiecīgās direktīvas vienības (40. panta 1. punkta)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izziņas 12. punktā ietverto iebildumu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anotācijas 5.4. sadaļas 1. tabulā konkretizēt noteikumu projekta vienības, ar kurām pārņemtas minētās direktīvas 40.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vai noteikumu projektā paredzēts pārņemt Eiropas Komisijas 2019. gada 26. martā Ieteikuma (ES) 2019/534 par 5G tīklu kiberdrošību prasības, attiecīgā gadījumā lūdzam atbilstošu informāciju par pārņemšanu ietvert noteikumu projekta 5. sadaļas ailītē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pamattīkls - datortīkla daļa, kas savieno tīklus, nodrošinot ceļu informācijas apmaiņai starp dažādiem LAN vai apakštīkliem.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atrunāt lietoto saīsinājumu "LAN".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24.11.2022.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24.11.2022.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Atzinumi_22-TA-2017.docx</dc:title>
</cp:coreProperties>
</file>

<file path=docProps/custom.xml><?xml version="1.0" encoding="utf-8"?>
<Properties xmlns="http://schemas.openxmlformats.org/officeDocument/2006/custom-properties" xmlns:vt="http://schemas.openxmlformats.org/officeDocument/2006/docPropsVTypes"/>
</file>