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piekļuve Transportlīdzekļu un to vadītāju valsts reģistram ir maksas pakalpojums, kura apmēru nosaka atsevišķi normatīvie akti (anotācijas 1.3. sadaļa). Nav vērtēts, vai šis maksas regulējums (iespējams, izstrādāts, pieņemot cita mēroga/veida lietotāju plūsmu) adekvāti aptver jauno piekļuves kanālu un potenciāli būtiski augošo pieprasījumu apjomu no plašā AML subjektu loka.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CSDD apstiprinājumu,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Transportlīdzekļu un to vadītāju valsts reģistrs jau ir tehniski pieslēgts DAGR kā datu devējs bez papildu attīstības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esošais maksas regulējums par reģistra izmantošanu ir piemērots arī paredzamajam jaunā lietotāju loka pieprasījumu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Ildze Gaidukēviča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01.09.2026.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01.09.2026.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Atzinumi_26-TA-1579.docx</dc:title>
</cp:coreProperties>
</file>

<file path=docProps/custom.xml><?xml version="1.0" encoding="utf-8"?>
<Properties xmlns="http://schemas.openxmlformats.org/officeDocument/2006/custom-properties" xmlns:vt="http://schemas.openxmlformats.org/officeDocument/2006/docPropsVTypes"/>
</file>