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grozījumu MK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(turpmāk – MKN grozījumu projekts) anotācijā skaidri atrunāt, attiecībā uz kādam pasākuma atbalsta sadaļām finansējuma saņēmējam ir jāuzkrāj dati par RIS3. Vēršam uzmanību, ka RIS3 rādītāji ir attiecināmi uz tiem SAM, pasākumiem vai to atbalsta sadaļām, kur atbalsts ir/var būt saistīts ar P&amp;A izdevumiem, nevis par vispārīgām uzņēmējdarbības atbalsta sadaļām.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risinājuma aprakstā par  Valsts ieņēmumu dienesta pieejamo datu nodrošināšanu aizvietot vārdus " VID datu bāzē" ar vārdiem "VID Informācijas sistēmā".  VID nenodrošina piekļuvi datu bāzei, bet  nodod datus ārējiem lietotājiem no informācijas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ietvaros vadības informācijas sistēmā uzkrāj šādus RIS3 rādītājus katrā no RIS3 jomām sadalījumā pa gala labuma guvēju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26.jūnija sanāksmi starp EM,IZM, CSP, CFLA un VI par RIS3 rādītāju saraksta pārskatīšanu, lūdzam pārskatīt un nepieciešamības gadījumā precizēt MKN 33. punktu attiecībā uz RIS3 rādītājiem pēc tam, kad starp augstākminētajām pusēm tiek panākta vienošanās par gala sarakstu ar RIS3 rādītājiem. Attiecīgi lūdzam arī VI informēt par RIS3 rādītāju gala sarakstu un to apstiprināšanas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Valsts ieņēmumu dienests saskaņā ar starpresoru vienošanos starp finansējuma saņēmēju un Valsts ieņēmumu dienestu nodrošina finansējuma saņēmējam pieeju datiem (darba devēja nosaukums un reģistrācijas numurs) par darba ņēmēja nodarbinātību, lai finansējuma saņēmējs izskatītu gala labuma guvēja iesnieguma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39.6.</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projektā 77.</w:t>
            </w:r>
            <w:r w:rsidR="00000000" w:rsidRPr="00000000" w:rsidDel="00000000">
              <w:rPr>
                <w:vertAlign w:val="superscript"/>
                <w:rtl w:val="0"/>
              </w:rPr>
              <w:t xml:space="preserve">5</w:t>
            </w:r>
            <w:r w:rsidR="00000000" w:rsidRPr="00000000" w:rsidDel="00000000">
              <w:rPr>
                <w:rtl w:val="0"/>
              </w:rPr>
              <w:t xml:space="preserve"> punktā ir noteikts, ka no Valsts ieņēmumu dienesta (turpmāk – VID) ir nepieciešams saņemt datus par darba ņēmēja darba devējiem, to nosaukumu un reģistrācijas numuru, lai izpildītu 36.,7., 39,2., 39,4., 39.5. un 39.6.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informē, ka var piedāvāt piekļuvi VID Datu noliktavas sistēmas standartpārskatam, kur pēc darba ņēmēja personas koda iespējams atlasīt šādu informāciju: darba devēja nosaukumu un nodokļu maksātāja reģistrācijas kodu un nodarbinātības periodus, informācijas avots ir  “Ziņas par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Standart-pārskats nesatur profesijas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piedāvātais risinājums nav atbalstāms no LIAA puses, tad nepieciešams vienoties par abām pusēm pieņemamāko datu nodošanas risinājumu, pēc kura abpusējas saskaņošanas VID varēs noteikt nepieciešamās izmaiņas VID informācijas sistēmās un aprēķināt risinājuma ieviešanai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39.2. apakšpunktā minēto par informācijas saņemšanu no VID attiecībā uz valdes locekļiem, jo datu pirmavots šai informācijai ir Uzņēmumu reģistrs, un pārskats “Ziņas par darba ņēmējiem” šādu informāciju nesatur.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informējām, ka 39.5 apakšpunktā minētā informācija nav VID rīcībā: darba devējs ziņās par darba ņēmējiem nenorāda valsts civildienesta ierēdņa statusu, kā arī VID Publiskojamo datu bāzē publicētajās valsts amatpersonu deklarācijās nav valsts civildienesta ierēdņa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komentārs, Nadežda Umanska)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Valsts ieņēmumu dienests saskaņā ar starpresoru vienošanos starp finansējuma saņēmēju un Valsts ieņēmumu dienestu nodrošina finansējuma saņēmējam pieeju datiem (darba devēja nosaukums un reģistrācijas numurs) par darba ņēmēja nodarbinātību, lai finansējuma saņēmējs izskatītu gala labuma guvēja iesnieguma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39.6.</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iestādēs var strādāt kā ierēdņi, tā darbinieki un personas uz uzņēmumu, autoratlīdzību līguma pamata. VID sniegtie dati norāda tikai darba vietas nosaukumu un reģistrācijas numuru, bet nesniedz informāciju par to, vai persona ir ierēdnis. Tāpat arī VID neuzkrāj informāciju par civildienesta ierēdni, bet gan to, kas ir publisko valsts amatpersonu deklarācijās. Likuma “Par interešu konflikta novēršanu valsts amatpersonu darbībā” 4.panta pirmajā daļā ir sniegts valsts amatpersonu uzskaitījums, kur 17.punktā kā viena no valsts amatpersonām ir minēts vispārējā un specializētā valsts civildienesta ierēdnis.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77. </w:t>
            </w:r>
            <w:r w:rsidR="00000000" w:rsidRPr="00000000" w:rsidDel="00000000">
              <w:rPr>
                <w:vertAlign w:val="superscript"/>
                <w:rtl w:val="0"/>
              </w:rPr>
              <w:t xml:space="preserve">5</w:t>
            </w:r>
            <w:r w:rsidR="00000000" w:rsidRPr="00000000" w:rsidDel="00000000">
              <w:rPr>
                <w:rtl w:val="0"/>
              </w:rPr>
              <w:t xml:space="preserve">  punktā sniegto atsauci uz 39.5.apakšpunktu vai precizēt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ja komercdarbības atbalsts tiek piešķirts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noteikumu ietvaros ir paredzēta atbalstu kumulācija, noteikumus ir nepieciešams papildināt ar nosacījumu, ka gala labuma guvējs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 Attiecīgi piedāvājam papildināt noteikumus ar šo nosacījumu,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gala labuma guvējs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projekta anotācijas 1.1.sadaļā “Pamatojums” norādīt pareizu specifiskā atbalsta mērķa un pasākuma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ir izstrādāts, lai noteiktu, ka atbalstu gala labuma guvējiem var piešķirt tikai kā de minimis, kā arī precizētu de minimis nosacījumus un finansējuma saņēmējam uzkrājamos viedās specializācijas stratēģijas (turpmāk - RIS)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MKN grozījumu projekta anotācijas 1.3. sadaļā "Problēmas apraksts" teikumu "</w:t>
            </w:r>
            <w:r w:rsidR="00000000" w:rsidRPr="00000000" w:rsidDel="00000000">
              <w:rPr>
                <w:i w:val="1"/>
                <w:rtl w:val="0"/>
              </w:rPr>
              <w:t xml:space="preserve">Finanšu ministrija ir informējusi Ekonomikas ministriju kā atbildīgo iestādi, ka saskaņā ar Eiropas Parlamenta un Padomes 2021.gada 24.jūnija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2.panta 1.daļas 9.punktā sniegto finansējuma saņēmēja definīciju, kas ir tieši piemērojama, secināms, ka ES fondu (ERAF, ESF+, KF, TPF, EJZAF) daudzpakāpju projektu gadījumā finansējuma saņēmējs var sniegt komercdarbības atbalstu tikai de minimis veidā, proti, nav pieļaujams, ka finansējuma saņēmējs sniedz atbalstu saskaņā ar citu komercdarbības atbalsta regulējumu, kas nav de minimis"  </w:t>
            </w:r>
            <w:r w:rsidR="00000000" w:rsidRPr="00000000" w:rsidDel="00000000">
              <w:rPr>
                <w:rtl w:val="0"/>
              </w:rPr>
              <w:t xml:space="preserve">papildināt, ka šāds secinājums ir saskaņā ar EK sniegto viedokli.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grozījumu projektā iekļautās tiesību normas un to, ka 1.2.1. specifiskā atbalsta mērķa "Pētniecības un inovāciju kapacitātes stiprināšana un progresīvu tehnoloģiju ieviešana uzņēmumiem" 1.2.1.4. pasākuma "Atbalsts tehnoloģiju pārneses sistēmas pilnveidošanai" projektu iesniegumu atlase ir noslēgusies un vienošanās par projekta īstenošanu ir noslēgta, lūdzam izvērtēt iespēju MKN grozījumu projekta anotācijā skaidrot, vai veiktie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 c)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noslēgtās vienošanās grozījumus, precizējot atbalsta sniegšanas un Viedās specializācijas stratēģijas rādītāju uzkrāšanas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grozījumu projekta protokollēmuma 3.punktu, tas ir pēc vārdiem "noslēgtās vienošanās" ar vārdiem "par projekta īstenošanu", nodrošinot atbilstību Eiropas Savienības fondu 2021.—2027. gada plānošanas perioda vadības likumā noteiktajai terminoloģijai un varētu identificēt konkrētu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w:t>
            </w:r>
            <w:r w:rsidR="00000000" w:rsidRPr="00000000" w:rsidDel="00000000">
              <w:rPr>
                <w:i w:val="1"/>
                <w:rtl w:val="0"/>
              </w:rPr>
              <w:t xml:space="preserve">euro,</w:t>
            </w:r>
            <w:r w:rsidR="00000000" w:rsidRPr="00000000" w:rsidDel="00000000">
              <w:rPr>
                <w:rtl w:val="0"/>
              </w:rPr>
              <w:t xml:space="preserve"> ievērojot atbalsta intensitāti saskaņā ar Komisijas regulu Nr. </w:t>
            </w:r>
            <w:r w:rsidR="00000000" w:rsidRPr="00000000" w:rsidDel="00000000">
              <w:rPr>
                <w:rtl w:val="0"/>
              </w:rPr>
              <w:t xml:space="preserve">2023/2831</w:t>
            </w:r>
            <w:r w:rsidR="00000000" w:rsidRPr="00000000" w:rsidDel="00000000">
              <w:rPr>
                <w:rtl w:val="0"/>
              </w:rPr>
              <w:t xml:space="preserve">. Vienlaikus tiek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intensitāte 57.1. un 57.2. apakšpunktā minētajā izmaksām noteikta 81.3.apakšpunktā nevis Komisijas regulā Nr.2023/2831, aicinām 59.punktu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euro, ievērojot atbalsta intensitāti saskaņā ar 81.3.apakšpunktu. Vienlaikus tiek izpildīti šādi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Šo noteikumu </w:t>
            </w:r>
            <w:r w:rsidR="00000000" w:rsidRPr="00000000" w:rsidDel="00000000">
              <w:rPr>
                <w:rtl w:val="0"/>
              </w:rPr>
              <w:t xml:space="preserve">81.</w:t>
            </w:r>
            <w:r w:rsidR="00000000" w:rsidRPr="00000000" w:rsidDel="00000000">
              <w:rPr>
                <w:rtl w:val="0"/>
              </w:rPr>
              <w:t xml:space="preserve"> punktā minētā atbalsta intensitāte tiek piemērota izmaksām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punktu attiecībā uz pievienotās vērtības nodokļa attiecināšanas kārtību, jo pretrunā ar noteikumu 28.punktu, kur noteikts, ka gala labuma guvējs, kurš nav pievienotās vērtības nodokļa maksātājs, var attiecināt pievienotās vērtības nodokļa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komercdarbības atbalsta saņemšanu saistītie nosacījumi, ja komercdarbības atbalsts tiek piešķirts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virzītais MKN grozījumu projekts vairs neparedz komercdarbības atbalsta piešķiršanu saskaņā ar Komisijas regulu Nr.651/2014, aicinām dzēst noteikumu sadaļu "VIII. Ar komercdarbības atbalsta saņemšanu saistītie nosacījumi, ja komercdarbības atbalsts tiek piešķirts saskaņā ar Komisijas regulu Nr.651/2014".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28.06.2024.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28.06.2024.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