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tiešās attiecināmās personāla izmaksas - projekta īstenošanas personāla un vadības personāla atlīdzības izmaksas (izņemot virsstundas)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kāpēc no MK noteikumu projekta dzēsts nosacījums par projekta vadības un īstenošanas personāla segšanu, izmantojot vienkāršoto izmaksu iespējas. Vēršam uzmanību, ka anotācijā (11.-12.lpp.) sniegtais skaidrojums nav pietiekams pamatojums vienkāršoto izmaksu nepiemērošanai, tāpēc lūdzam Izglītības un zinātnes ministriju kā atbildīgo iestādi nodrošināt, ka projekta personāla vadības un īstenošanas tiek segtas izmantojot vienkāršoto izmaksu piemērošanas iespējas, piemēram, izstrādājot vienas vienības izmaksu metodiku.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w:t>
            </w:r>
            <w:r w:rsidR="00000000" w:rsidRPr="00000000" w:rsidDel="00000000">
              <w:rPr>
                <w:i w:val="1"/>
                <w:rtl w:val="0"/>
              </w:rPr>
              <w:t xml:space="preserve">euro</w:t>
            </w:r>
            <w:r w:rsidR="00000000" w:rsidRPr="00000000" w:rsidDel="00000000">
              <w:rPr>
                <w:rtl w:val="0"/>
              </w:rPr>
              <w:t xml:space="preserve">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vai saskaņā ar daļlaika attiecināmības principu, darba vietas aprīkojuma iegādes vai nomas izmaksas ir attiecināmas proporcionāli darba slodzes procentuālajam sadalījumam;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 Finanšu ministrijas atzinumā tika sniegts iebildums attiecībā uz personālu, kas nodarbināts projektā saskaņā ar daļlaika attiecināmības principu. Izziņā sniegta informācija, ka tas ņemts vērā, taču pēc būtības, izskatot veiktos precizējumus, Finanšu ministrija secināja, ka iepriekš minētais iebildums ir daļēji ņemts vērā. Līdz ar to atkārtoti lūdzam precizēt MK noteikumu attiecīgo apakšpunktu, ka daļlaika izmaksu attiecināšanas principa gadījumā jāņem vērā darbinieka iesaistes periods projektā pret projekta kopējo īstenošanas ilgumu.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15.2.8. jaunradītu darba vietu aprīkojuma, tai skaitā biroja mēbeļu un tehnikas, datorprogrammu un licences iegādes vai nomas izmaksas, aprīkojuma uzturēšanas un remonta izmaksas, vai esošo darba vietu atjaunošanas izmaksas, ja esošo darba vietu aprīkojums ir nolietojies un tiek norakstīts, ne vairāk kā 3 000 euro vienai darba vietai visā projekta īstenošanas laikā, ja finansējuma saņēmēja projekta vadības vai īstenošanas personāls ir nodarbināts projektā uz darba līguma pamata. Ja personāls ir nodarbināts normālu darba laiku, darba vietas aprīkojuma iegādes vai nomas izmaksas ir attiecināmas 100 procentu apmērā. Ja personāls ir nodarbināts nepilnu darba laiku, darba vietas aprīkojuma iegādes vai nomas izmaksas ir attiecināmas proporcionāli darba slodzes procentuālajam sadalījumam. Ja personāls ir nodarbināts saskaņā ar daļlaika attiecināmības principu darba vietas aprīkojuma iegādes vai nomas izmaksas ir attiecināmas proporcionāli darba slodzes procentuālajam sadalījumam un ņemot vērā darbinieka iesaistes periodu projektā pret projekta kopējo īstenošanas ilgumu;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Pievienotās vērtības nodoklis uzskatāms par attiecināmām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iepriekšējā Finanšu ministrijas atzinumā sniegto komentāru attiecībā uz gadījumiem, ja tiek izmantots vienkāršots PVN līdzekļu attiecināšanas princips projektiem, kuru kopējās izmaksas ir mazākas par 5 milj. EUR (ieskaitot PVN), lūdzam anotācijā sniegt informāciju, ka tiks nodrošināts dubultā finansējuma novēršanas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19.punktu izteikt kā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nodoklis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 64.panta 1.punkta c)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īstenošanas uzraudzību veic Profesionālās izglītības un nodarbinātības trīspusējās sadarbības apakšpadome (turpmāk – Padome). Padomes sēdes projekta uzraudzības jautājumos tiek sasauktas pēc nepieciešamības, bet ne retāk kā divas reizes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anotācijā skaidri norādīt, kas izveido Profesionālās izglītības un nodarbinātības trīspusējās sadarbības apakšpadomi. Papildus lūdzu skaidrot uz kāda tiesiskā pamata minētā apakšpadome veic projekta uzraudzību. Vēršam uzmanību, ka institūcijas kurām ir noteikta uzraudzības funkcija ir noteikta Eiropas Savienības fondu 2021-2027.gada plānošanas perioda vadības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Padomes sēdēs, kad tiek izskatīti ar projekta īstenošanas uzraudzību saistītie jautājumi, eksperta statusā uzaicina piedalīties atbildīgās iestādes, vadošās iestādes un sadarbības iestādes pārstāvjus.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vadošās iestādes pārstāvju dalību padomē. Vēršam uzmanību, ka vadošās iestādes pienākumos netilps projektu uzraudzības funkcija.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 Datus par konkursantiem uzkrāj un apstrādā atbilstoši Eiropas Parlamenta un Padomes 2021. gada 24. jūnija Regulas (ES)  Nr. 2021/1057, ar  ko izveido Eiropas Sociālo fondu Plus (ESF+) un atceļ Regulu (ES) Nr. 1296/2013, I un II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noteikumu projekta 29.2.apakšpunktu ar atsauci uz Ministru kabineta 2023.gada 21.marta noteikumiem Nr.135 "Eiropas Savienības fondu projektu pārbaužu veikšanas kārtība 2021.–2027. gada plānošanas periodā" un to 1.pielikumu.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informāciju, turpinām uzturēt iebildumu par vienkāršoto izmaksu piemērošanu, proti, aicinām pasākuma īstenošanai piemērot vienoto likmi 40 % apmērā pārējo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(11.-12.lpp.) sniegtais skaidrojums nav pietiekams pamatojums vienkāršoto izmaksu nepiemērošanai personāla izmaksām, tāpēc lūdzam Izglītības un zinātnes ministriju kā atbildīgo iestādi nodrošināt, ka projekta personāla vadības un īstenošanas tiek segtas izmantojot vienkāršoto izmaksu piemērošanas iespējas, piemēram, izstrādājot vienas vienības izmaksu metodiku. Lūgums anotācijā dzēst informāciju, kas nav saistīta ar vienkāršoto izmaksu metodikas izstrādes un piemērošanas iespējām, piemēram atlīdzības reforma vai projekta ieviesēja juridiskais statuss nav pamatots arguments, lai apgalvotu, ka vienkāršoto izmaksu metodikas izstrāde palielinātu administratīvo slogu un nebūtu samērīga. Valstī noteiktā horizontālā atlīdzības politika valsts un pašvaldību institūcijās var kalpot par pamatu, lai izstrādātu metodiku personāla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1.3.apakšsadaļu ar informāciju par fizisko personu datu uzkrāšanas mērķi un norādīt, kādi tieši fizisko personu dati tiks uzkrāti, ņemot vērā noteikumu projektā 29.punktā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ka 2023. gadā līdz vienošanās par projekta īstenošanu noslēgšanai ar Centrālo finanšu un līgumu aģentūru 4.2.2.9. pasākuma "Izglītības procesa individualizācija un starpnozaru sadarbība profesionālās izglītības izcilībai" (turpmāk – 4.2.2.9. pasākums) otrās projekta iesniegumu atlases kārtas īstenošanai nepieciešamo finansējumu attiecināmo izmaksu segšanai Valsts izglītības attīstības aģentūrai kā 4.2.2.9. pasākuma otrās atlases kārtas plānotajam finansējuma saņēmējam līdz 180 000</w:t>
            </w:r>
            <w:r w:rsidR="00000000" w:rsidRPr="00000000" w:rsidDel="00000000">
              <w:rPr>
                <w:i w:val="1"/>
                <w:rtl w:val="0"/>
              </w:rPr>
              <w:t xml:space="preserve"> euro</w:t>
            </w:r>
            <w:r w:rsidR="00000000" w:rsidRPr="00000000" w:rsidDel="00000000">
              <w:rPr>
                <w:rtl w:val="0"/>
              </w:rPr>
              <w:t xml:space="preserve"> 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 normatīvajos aktos noteiktajā kārtībā.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sniegts pamatojums, kāpēc Ministru kabineta sēdes protokollēmums ir papildināts ar 2.punktu, kas paredz, ka 2023. gadā līdz vienošanās par projekta īstenošanu noslēgšanai ar Centrālo finanšu un līgumu aģentūru 4.2.2.9. pasākuma finansējumu attiecināmo izmaksu segšanai līdz 180 000 </w:t>
            </w:r>
            <w:r w:rsidR="00000000" w:rsidRPr="00000000" w:rsidDel="00000000">
              <w:rPr>
                <w:i w:val="1"/>
                <w:rtl w:val="0"/>
              </w:rPr>
              <w:t xml:space="preserve">euro </w:t>
            </w:r>
            <w:r w:rsidR="00000000" w:rsidRPr="00000000" w:rsidDel="00000000">
              <w:rPr>
                <w:rtl w:val="0"/>
              </w:rPr>
              <w:t xml:space="preserve">apmērā nodrošina no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jāpapildina ar detalizētiem aprēķiniem, kas pamato nepieciešamo finansējuma apmēru 2023. gadam līdz vienošanās par projekta īstenošanu noslēgšanai ar Centrālo finanšu un līgumu aģentūru 4.2.2.9 pasākuma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 – 2027. gadam 4. politikas mērķa "Sociālāka un iekļaujošāka Eiropa, īstenojot Eiropas sociālo tiesību pīlāru" 4.2. prioritātes "Izglītība, prasmes un mūžizglītība"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(turpmāk – pasākums) otro projekta iesniegumu atlases kārtu (turpmāk – otrā kārta);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"4. politikas mērķa "Sociālāka un iekļaujošāka Eiropa, īstenojot Eiropas sociālo tiesību pīlāru" 4.2. prioritātes "Izglītība, prasmes un mūžizglītība", lai nodrošinātu atbilstību noteikumu projekta nosaukumam.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pasākuma otrajai kārtai plānoto un pieejamo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1.3.apakšpunktu ar frāzi "plānoto un" pirms vārda "pieejamo".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ir sasniedzami šādi programmā noteiktie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rādītāju veidus atbilstoši 2023.gada 30.maijā apstiprinātajās vadlīnijās Nr.1.4. "Vadlīnijas Ministru kabineta noteikumu par specifiskā atbalsta mērķa īstenošanu izstrādei Eiropas Savienības fondu 2021.—2027. gada plānošanas periodā" norādītajiem rādītāju veidiem, kas paredz, ka ir trīs rādītāju veidi - iznākuma rādītāji, rezultāta rādītāji,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otrās kārtas ietvaros līdz 2029.gada 31. decembrim ir sasniedzami šādi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iznākuma rādītājs – nacionāla, reģionāla vai vietēja mēroga valsts administrācijas vai sabiedrisko pakalpojumu iestāžu un pakalpojumu skaits, kas saņēmuši atbalstu, – 1, tai skaitā līdz 2024. gada 31. decembrim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rezultāta rādītājs – iestādes, kas ieviesušas uzlabojumus izglītības un mācību sistēmu kvalitātei, efektivitātei un atbilstībai darba tirgum, –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nacionālie rādītāji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 nacionālo jauno profesionāļu meistarības konkursu SkillsLatvia skaits, kuru norise nodrošināta projektā – 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starptautisko jauno profesionāļu meistarības konkursu EuroSkills un WorldSkills skaits, kuros nodrošināta dalība no projekta –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starptautiskajos jauno profesionāļu meistarības konkursos piedalījušos konkursantu skaits – vismaz 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iesniedzējs pasākuma otrās kārtas ietvaros ir tiešās pārvaldes iestāde – Valsts izglītības attīstības aģentūra, kas pēc tam, kad ir apstiprināts projekta iesniegums, ir arī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10.punktā vārdu "arī". Vēršam uzmanību, ka saskaņā ar Eiropas Savienības fondu 2021.-2027.gada plānošanas perioda vadības likuma regulējumu, projekta iesniedzējs ir finansējuma saņēmējs, ja tā projekta iesniegums ir apstiprināts.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 informācijas un publicitātes pasākumi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vadlīnijās "Vadlīnijas Ministru kabineta noteikumu par specifiskā atbalsta mērķa īstenošanu izstrādei Eiropas Savienības fondu 2021.—2027. gada plānošanas periodā" lietoto jēdzienu "komunikācijas un vizuālās identitātes prasību nodrošināšanas nosacījumi", aicinām izvērtēt un pēc nepieciešamības precizēt noteikumu projekta 13.5.apakšpunktu, 15.2.7.apakšpunktu un 31.punktu. Vienlaikus lūdzam attiecīgo informāciju par informācijas un publicitātes pasākumu nodrošināšanu (komunikācijas un vizuālās identitātes prasību nodrošināšanas nosacījumu ievērošanu), tostarp atsauces uz attiecīgajiem dokumentiem norādīt arī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iekšzemes komandējumu un dienesta braucienu izmaksas finansējuma saņēmēja projekta īstenošanas personālam šo noteikumu </w:t>
            </w:r>
            <w:r w:rsidR="00000000" w:rsidRPr="00000000" w:rsidDel="00000000">
              <w:rPr>
                <w:rtl w:val="0"/>
              </w:rPr>
              <w:t xml:space="preserve">13.1.</w:t>
            </w:r>
            <w:r w:rsidR="00000000" w:rsidRPr="00000000" w:rsidDel="00000000">
              <w:rPr>
                <w:rtl w:val="0"/>
              </w:rPr>
              <w:t xml:space="preserve">, </w:t>
            </w:r>
            <w:r w:rsidR="00000000" w:rsidRPr="00000000" w:rsidDel="00000000">
              <w:rPr>
                <w:rtl w:val="0"/>
              </w:rPr>
              <w:t xml:space="preserve">13.2.</w:t>
            </w:r>
            <w:r w:rsidR="00000000" w:rsidRPr="00000000" w:rsidDel="00000000">
              <w:rPr>
                <w:rtl w:val="0"/>
              </w:rPr>
              <w:t xml:space="preserve">, </w:t>
            </w:r>
            <w:r w:rsidR="00000000" w:rsidRPr="00000000" w:rsidDel="00000000">
              <w:rPr>
                <w:rtl w:val="0"/>
              </w:rPr>
              <w:t xml:space="preserve">13.3.</w:t>
            </w:r>
            <w:r w:rsidR="00000000" w:rsidRPr="00000000" w:rsidDel="00000000">
              <w:rPr>
                <w:rtl w:val="0"/>
              </w:rPr>
              <w:t xml:space="preserve"> un </w:t>
            </w:r>
            <w:r w:rsidR="00000000" w:rsidRPr="00000000" w:rsidDel="00000000">
              <w:rPr>
                <w:rtl w:val="0"/>
              </w:rPr>
              <w:t xml:space="preserve">13.4. </w:t>
            </w:r>
            <w:r w:rsidR="00000000" w:rsidRPr="00000000" w:rsidDel="00000000">
              <w:rPr>
                <w:rtl w:val="0"/>
              </w:rPr>
              <w:t xml:space="preserve">apakšpunktā</w:t>
            </w:r>
            <w:r w:rsidR="00000000" w:rsidRPr="00000000" w:rsidDel="00000000">
              <w:rPr>
                <w:rtl w:val="0"/>
              </w:rPr>
              <w:t xml:space="preserve"> minēto atbalstāmo darbību īstenošanai, piesaistītājiem ekspertiem un konkursantiem šo noteikumu </w:t>
            </w:r>
            <w:r w:rsidR="00000000" w:rsidRPr="00000000" w:rsidDel="00000000">
              <w:rPr>
                <w:rtl w:val="0"/>
              </w:rPr>
              <w:t xml:space="preserve">13.2. </w:t>
            </w:r>
            <w:r w:rsidR="00000000" w:rsidRPr="00000000" w:rsidDel="00000000">
              <w:rPr>
                <w:rtl w:val="0"/>
              </w:rPr>
              <w:t xml:space="preserve">apakšpunktā</w:t>
            </w:r>
            <w:r w:rsidR="00000000" w:rsidRPr="00000000" w:rsidDel="00000000">
              <w:rPr>
                <w:rtl w:val="0"/>
              </w:rPr>
              <w:t xml:space="preserve"> minētās atbalstāmās darbības īstenošanai, attiecināmas atbilstoši vadošās iestādes izstrādātajai metodikai "Vienas vienības izmaksu standarta likmes aprēķina un piemērošanas metodika iekšzemes komandējumu izmaksām darbības programmas “Izaugsme un nodarbinātība” un Eiropas Savienības kohēzijas politikas programmas 2021.–2027.gadam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MK noteikumu projekta 15.2.1.apakšpunktā paredzēto iekšzemes komandējumu un dienesta braucienu izmaksu ekspertiem un konkursantiem MK noteikumu 13.2.apakšpunktā minētās atbalstāmās darbības īstenošanai nepieciešamību, t.sk. kontekstā ar MK noteikumu projekta 15.2.6.7.apakšpunktā paredzētajām izmaksām 13.2.apakšpunktā minēto atbalstāmo darbību īstenošanai. Papildus vēršam uzmanību uz to, ka anotācijā, skaidrojot to, kurām izmaksām ir plānots piemērot vienkāršotās izmaksas, teikts, ka “</w:t>
            </w:r>
            <w:r w:rsidR="00000000" w:rsidRPr="00000000" w:rsidDel="00000000">
              <w:rPr>
                <w:i w:val="1"/>
                <w:rtl w:val="0"/>
              </w:rPr>
              <w:t xml:space="preserve">Vienkāršotās izmaksas ir plānots piemērot izmaksām, kas norādītas noteikumu projekta </w:t>
            </w:r>
            <w:r w:rsidR="00000000" w:rsidRPr="00000000" w:rsidDel="00000000">
              <w:rPr>
                <w:i w:val="1"/>
                <w:u w:val="single"/>
                <w:rtl w:val="0"/>
              </w:rPr>
              <w:t xml:space="preserve">15.2.1. apakšpunktā</w:t>
            </w:r>
            <w:r w:rsidR="00000000" w:rsidRPr="00000000" w:rsidDel="00000000">
              <w:rPr>
                <w:i w:val="1"/>
                <w:rtl w:val="0"/>
              </w:rPr>
              <w:t xml:space="preserve"> (iekšzemes komandējumi un dienesta braucieni – naktsmītnes un dienas nauda </w:t>
            </w:r>
            <w:r w:rsidR="00000000" w:rsidRPr="00000000" w:rsidDel="00000000">
              <w:rPr>
                <w:i w:val="1"/>
                <w:u w:val="single"/>
                <w:rtl w:val="0"/>
              </w:rPr>
              <w:t xml:space="preserve">projekta personālam</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Katkovska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nacionālo un starptautisko jauno profesionāļu meistarības konkursu ietvaros atbalstu saņēmušo konkursantu skaitu, dzimumu, vecumu, profesionālās izglītības iestādi un profesionālo kvalifikāciju. Datus par konkursantiem uzkrāj un apstrādā atbilstoši Eiropas Parlamenta un Padomes 2021. gada 24. jūnija Regulas (ES)  Nr. 2021/1057, ar  ko izveido Eiropas Sociālo fondu Plus (ESF+) un atceļ Regulu (ES) Nr. 1296/2013, I un II pielikumam;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atsauci uz regulas II pielikumu, jo tas neattiecas uz šo specifisko atbalsta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saņēmējs nodrošina informācijas un publicitātes pasākumus saskaņā ar Eiropas Parlamenta un Padomes 2021. gada 24. jūnija Regulas (ES) Nr. 2021/1060 47. pantu un 50. pantu un Kārtību, kādā Eiropas Savienības fondu vadībā iesaistītās institūcijas nodrošina šo fondu ieviešanu 2021.–2027.gada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31.punktu ar frāzi "normatīviem aktiem par" pirms frāzes "kārtību, kādā Eiropas Savienības fondu vadībā iesaistītās institūcijas nodrošina šo fondu ieviešanu 2021.–2027. 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06.07.2023.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06.07.2023.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