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23-TA-797: Instrukcijas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Instrukcija par budžeta pieprasījumu izstrādāšanas un iesniegšanas pamatprincipiem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Instrukcijas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(Valsts pamatbudžeta un valsts speciālā budžeta ilgtermiņa saistību veidi un to saistību atšifrējuma detalizācijas līmenis budžeta pieprasījumos)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Instrukcijas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Budžeta pieprasījumu izstrādā kārtējā gadā (turpmāk – n gads). Vidējais termiņš ietver triju gadu periodu, ko veido saimnieciskais gads, kuram tiek plānots budžets (turpmāk – n+1 gads), un tam sekojošie divi saimnieciskie gadi (turpmāk – n+2 un n+3 gads).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Likuma par budžetu un finanšu vadību I nodaļa jau noteic, ka ar terminu "vidējs termiņš" saprot triju gadu periodu, ko veido saimnieciskais gads, kuram plāno valsts budžetu, un tam sekojošie divi saimnieciskie gadi. Paskaidrojam, ka atbilstoši Ministru kabineta 2009. gada 3. februāra noteikumu Nr. 108 "Normatīvo aktu projektu sagatavošanas noteikumi" (turpmāk – Noteikumi Nr. 108) 3.2. apakšpunktam normatīvā akta projektā neietver normas, kas dublē augstāka vai tāda paša spēka normatīvā akta tiesību normās ietverto normatīvo regulējumu.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svītrot projekta 4. punkta otro teikumu, atbilstoši precizējot saistītos projekta punktus.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Natālija Pīlipa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Instrukcijas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Budžeta programmu (apakšprogrammu) struktūru ministrija veido atbilstoši šajā instrukcijā noteiktajiem budžeta programmu (apakšprogrammu) veidošanas principiem. Šīs instrukcijas </w:t>
            </w:r>
            <w:r w:rsidR="00000000" w:rsidRPr="00000000" w:rsidDel="00000000">
              <w:rPr>
                <w:rtl w:val="0"/>
              </w:rPr>
              <w:t xml:space="preserve">3.1.</w:t>
            </w:r>
            <w:r w:rsidR="00000000" w:rsidRPr="00000000" w:rsidDel="00000000">
              <w:rPr>
                <w:rtl w:val="0"/>
              </w:rPr>
              <w:t xml:space="preserve"> un </w:t>
            </w:r>
            <w:r w:rsidR="00000000" w:rsidRPr="00000000" w:rsidDel="00000000">
              <w:rPr>
                <w:rtl w:val="0"/>
              </w:rPr>
              <w:t xml:space="preserve">3.2. </w:t>
            </w:r>
            <w:r w:rsidR="00000000" w:rsidRPr="00000000" w:rsidDel="00000000">
              <w:rPr>
                <w:rtl w:val="0"/>
              </w:rPr>
              <w:t xml:space="preserve">apakšpunktā</w:t>
            </w:r>
            <w:r w:rsidR="00000000" w:rsidRPr="00000000" w:rsidDel="00000000">
              <w:rPr>
                <w:rtl w:val="0"/>
              </w:rPr>
              <w:t xml:space="preserve"> ​​​​​​​ paredzētajām daļām piemēro atšķirīgus budžeta programmu (apakšprogrammu) veidošanas principus.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gan projekta 6. punkta pirmais teikums, gan projekta 7. punkta ievaddaļa noteic, ka budžeta programmu (apakšprogrammu) struktūru veido atbilstoši projektā noteiktajiem budžeta programmu (apakšprogrammu) veidošanas principiem. Ievērojot, ka atbilstoši Noteikumu Nr. 108 3.3. apakšpunktam normatīvā akta projektā neietver normas, kas dublē pašā normatīvā akta projektā ietverto regulējumu, lūdzam svītrot projekta 6. punkta pirmo teikumu.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Natālija Pīlipa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Instrukcijas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 programmā plāno ministrijas (izņemot citas centrālās valsts iestādes) centrālā aparāta darbības nodrošināšanai nepieciešamo finansējumu. Ministrijas centrālo aparātu šīs instrukcijas izpratnē veido attiecīgās ministrijas reglamentā noteiktās ministrijas struktūrvienības. Šajā apakšpunktā minētajai programmai lieto šādu nosaukumu un numerāciju – 97.00.00 "Nozaru vadība un politikas plānošana";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atbilstoši projekta 1. punktam vārdkopu "ministrijas un citas centrālās valsts iestādes" projekta tekstā saīsina ar vārdu "ministrijas". Tādējādi nav saprotams projekta 8.1. apakšpunkta pirmajā teikumā ietvertais regulējums, kas noteic, ka budžeta programmā plāno </w:t>
            </w:r>
            <w:r w:rsidR="00000000" w:rsidRPr="00000000" w:rsidDel="00000000">
              <w:rPr>
                <w:u w:val="single"/>
                <w:rtl w:val="0"/>
              </w:rPr>
              <w:t xml:space="preserve">ministrijas un citas centrālās valsts iestādes (izņemot citas centrālās valsts iestādes)</w:t>
            </w:r>
            <w:r w:rsidR="00000000" w:rsidRPr="00000000" w:rsidDel="00000000">
              <w:rPr>
                <w:rtl w:val="0"/>
              </w:rPr>
              <w:t xml:space="preserve"> centrālā aparāta darbības nodrošināšanai nepieciešamo finansējumu.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atbilstoši precizēt projekta 8.1. apakšpunktu, nodrošinot skaidru un saprotamu tiesisko regulējumu.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Natālija Pīlipa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Instrukcijas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Ministrija budžeta programmai var veidot apakšprogrammas. Budžeta programmai izveidotās budžeta apakšprogrammas: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Likuma par budžetu un finanšu vadību I nodaļa jau noteic, ka budžeta programma var būt sadalīta apakšprogrammās. Ievērojot, ka atbilstoši Noteikumu Nr. 108 3.2. apakšpunktam normatīvā akta projektā neietver normas, kas dublē augstāka vai tāda paša spēka normatīvā akta tiesību normās ietverto normatīvo regulējumu, lūdzam svītrot projekta 10. punkta ievaddaļas pirmo teikumu.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Natālija Pīlipa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Instrukcijas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26.2. mērķdotācijas pašvaldībām plāno tikai atbilstoši pieņemtajiem normatīvajiem aktiem, izņemot šīs instrukcijas </w:t>
            </w:r>
            <w:r w:rsidR="00000000" w:rsidRPr="00000000" w:rsidDel="00000000">
              <w:rPr>
                <w:rtl w:val="0"/>
              </w:rPr>
              <w:t xml:space="preserve">26.1. </w:t>
            </w:r>
            <w:r w:rsidR="00000000" w:rsidRPr="00000000" w:rsidDel="00000000">
              <w:rPr>
                <w:rtl w:val="0"/>
              </w:rPr>
              <w:t xml:space="preserve">apakšpunktā</w:t>
            </w:r>
            <w:r w:rsidR="00000000" w:rsidRPr="00000000" w:rsidDel="00000000">
              <w:rPr>
                <w:rtl w:val="0"/>
              </w:rPr>
              <w:t xml:space="preserve"> minēto;</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projekta 26.2. apakšpunktā, 31. un 47. punktā ietverto atsauci uz normatīvajiem aktiem atbilstoši Noteikumu Nr. 108 3.7. nodaļā noteiktajam.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Natālija Pīlipa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Instrukcijas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28.5. Eiropas Savienības politiku instrumentu un pārējās ārvalstu finanšu palīdzības, klimata pārmaiņu finanšu instrumenta un emisijas kvotu izsolīšanas instrumentu līdzfinansētiem un finansētiem projektiem un pasākumiem, kuriem maksājumu veikšana ir paredzēta, tikai sākot ar n+1 gadu un turpmākajos gados, nepieciešams Ministru kabineta lēmums par tiesībām uzņemties jaunas valsts budžeta ilgtermiņa saistības, izņemot gadījumus, ja šādas tiesības paredzētas normatīvajā aktā vai tiesību aktā par attiecīgā finanšu instrumenta līdzfinansēto projektu un pasākumu īstenošanu.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Likuma par budžetu un finanšu vadību 24. panta trešā daļa noteic, ka valsts vai pašvaldības iestāde, atvasināta publiska persona, kuru pilnīgi finansē no valsts vai pašvaldības budžeta, kā arī pašvaldības aģentūra var uzņemties papildu valsts budžeta ilgtermiņa saistības vienīgi Eiropas Savienības politikas instrumentu un pārējās ārvalstu finanšu palīdzības līdzfinansētos projektos un pasākumos, ja pieņemts attiecīgs Ministru kabineta lēmums. Ievērojot minēto, lūdzam atbilstoši precizēt projekta 28.5. apakšpunktu, vienlaikus ņemot vērā, ka saskaņā ar Noteikumu Nr. 108 3.2. apakšpunktu normatīvā akta projektā neietver normas, kas dublē augstāka vai tāda paša spēka normatīvā akta tiesību normās ietverto normatīvo regulējumu.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Natālija Pīlipa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Instrukcijas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 Valsts budžeta ilgtermiņa saistības Vienotās valsts budžeta plānošanas un izpildes informācijas sistēmā (turpmāk – SAP sistēma) var grozīt, iesniedzot budžeta pieprasījumu valsts budžeta likumprojektam vai iesniedzot priekšlikumus grozījumiem valsts budžeta likumā.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Informējam, ka atbilstoši Noteikumu Nr. 108 44. punktam normatīvā akta projektā nelieto saīsinājumus, kurus veido abreviatūras, izņemot vispārzināmas abreviatūras. Ievērojot minēto, lūdzam precizēt projekta 29. punktā piedāvāto vārdkopas "Vienotā valsts budžeta plānošanas un izpildes informācijas sistēma" saīsinājumu, atbilstoši precizējot saistītos projekta punktus.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Natālija Pīlipa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Instrukcijas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 Labklājības ministrijas valsts sociālās apdrošināšanas speciālā budžeta ieņēmumus veido:</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atbilstoši Likuma par budžetu un finanšu vadību 8. panta pirmajai daļai speciālo budžetu veido likumā paredzētu valsts budžeta izdevumu segšana no īpašiem mērķiem iezīmētiem ieņēmumu avotiem, aizņēmumi no valsts pamatbudžeta un atmaksa valsts pamatbudžetam. Papildus norādām, ka atbilstoši Noteikumu Nr. 108 3.2. apakšpunktam normatīvā akta projektā neietver normas, kas dublē augstāka vai tāda paša spēka normatīvā akta tiesību normās ietverto regulējumu.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svītrot projekta 34.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Natālija Pīlipa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Instrukcijas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 Plānojot valsts sociālās apdrošināšanas speciālo budžetu, fondēto pensiju shēmas līdzekļus nošķir no vispārējā valsts budžeta un tos neplāno kā valsts sociālās apdrošināšanas speciālā budžeta daļu. Fondēto pensiju shēmas līdzekļus ieskaita valsts sociālās apdrošināšanas valsts pensiju speciālajā budžetā tikai Valsts fondēto pensiju likumā noteiktajos gadījumos – fondēto pensiju shēmas dalībnieka vecuma pensijas pieprasīšanas vai fondēto pensiju shēmas dalībnieka nāves gadījumā.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ka Valsts fondēto pensiju likuma 3.</w:t>
            </w:r>
            <w:r w:rsidR="00000000" w:rsidRPr="00000000" w:rsidDel="00000000">
              <w:rPr>
                <w:vertAlign w:val="superscript"/>
                <w:rtl w:val="0"/>
              </w:rPr>
              <w:t xml:space="preserve">1</w:t>
            </w:r>
            <w:r w:rsidR="00000000" w:rsidRPr="00000000" w:rsidDel="00000000">
              <w:rPr>
                <w:rtl w:val="0"/>
              </w:rPr>
              <w:t xml:space="preserve"> panta piektā un sestā daļa jau noteic gadījumus, kuros fondēto pensiju shēmas līdzekļus ieskaita valsts pensiju speciālajā budžetā, un to, ka atbilstoši Noteikumu Nr. 108 3.2. apakšpunktam normatīvā akta projektā neietver normas, kas dublē augstāka vai tāda paša spēka normatīvā akta tiesību normās ietverto normatīvo regulējumu, lūdzam svītrot projekta 35. punkta otro teikumu.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Natālija Pīlipa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Instrukcijas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 Ministrija budžeta pieprasījumus un paskaidrojumus sagatavo un iesniedz atbilstoši šīs instrukcijas pielikumos noteiktajām veidlapām. Aktualizēto veidlapu paraugus Finanšu ministrija publicē savā tīmekļa vietnē.</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ka budžeta pieprasījumus un paskaidrojumus saskaņā ar projekta 36. punktu sagatavo un iesniedz atbilstoši projekta pielikumos noteiktajām veidlapām, Tieslietu ministrijas ieskatā nav pieļaujams projektā noteikt, ka Finanšu ministrijas tīmekļvietnē tiek publicēti aktualizēti šo veidlapu paraugi. Proti, iestādes tīmekļvietnē ievietotajai informācijai ir tikai informatīvs raksturs un, ja rodas nepieciešamība aktualizēt projekta pielikumā noteiktās veidlapas, veicami attiecīgi projekta grozījumi.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svītrot projekta 36. punkta otro teikumu un atbilstoši precizēt projekta 42.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Natālija Pīlipa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Instrukcijas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 Finanšu ministrija pēc budžeta pieprasījumu izskatīšanas informē ministriju par nepieciešamajiem precizējumiem un labojumiem un, ja nepieciešams, pieprasa iesniegt papildu informāciju un attiecīgus labojumus.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no Likuma par budžetu un finanšu vadību 16. panta 1.</w:t>
            </w:r>
            <w:r w:rsidR="00000000" w:rsidRPr="00000000" w:rsidDel="00000000">
              <w:rPr>
                <w:vertAlign w:val="superscript"/>
                <w:rtl w:val="0"/>
              </w:rPr>
              <w:t xml:space="preserve">1</w:t>
            </w:r>
            <w:r w:rsidR="00000000" w:rsidRPr="00000000" w:rsidDel="00000000">
              <w:rPr>
                <w:rtl w:val="0"/>
              </w:rPr>
              <w:t xml:space="preserve"> daļas jau izriet, ka Finanšu ministrija, sagatavojot valsts budžeta likumprojektu, nepieciešamības gadījumā pieprasa un bez maksas saņem no valsts un pašvaldību iestādēm informāciju. Ievērojot, ka saskaņā ar Noteikumu Nr. 108 3.2. apakšpunktu normatīvā akta projektā neietver normas, kas dublē augstāka vai tāda paša spēka normatīvā akta tiesību normās ietverto normatīvo regulējumu, lūdzam atbilstoši precizēt projekta 37. punktu vai svītrot 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Natālija Pīlipa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Instrukcijas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 Finanšu ministrija pēc ministriju iesniegto budžeta pieprasījumu izskatīšanas sagatavo valsts budžeta likumprojektu, tā pielikumus un paskaidrojumus. Paskaidrojumu iesniedz izskatīšanai Ministru kabinetā un Saeimā kopā ar valsts budžeta likumprojektu.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no Likuma par budžetu un finanšu vadību 16. panta pirmās un 1.</w:t>
            </w:r>
            <w:r w:rsidR="00000000" w:rsidRPr="00000000" w:rsidDel="00000000">
              <w:rPr>
                <w:vertAlign w:val="superscript"/>
                <w:rtl w:val="0"/>
              </w:rPr>
              <w:t xml:space="preserve">1</w:t>
            </w:r>
            <w:r w:rsidR="00000000" w:rsidRPr="00000000" w:rsidDel="00000000">
              <w:rPr>
                <w:rtl w:val="0"/>
              </w:rPr>
              <w:t xml:space="preserve"> daļas jau izriet, ka valsts budžeta likumprojektu izstrādā Finanšu ministrija, savukārt no šā likuma 18.</w:t>
            </w:r>
            <w:r w:rsidR="00000000" w:rsidRPr="00000000" w:rsidDel="00000000">
              <w:rPr>
                <w:vertAlign w:val="superscript"/>
                <w:rtl w:val="0"/>
              </w:rPr>
              <w:t xml:space="preserve">1</w:t>
            </w:r>
            <w:r w:rsidR="00000000" w:rsidRPr="00000000" w:rsidDel="00000000">
              <w:rPr>
                <w:rtl w:val="0"/>
              </w:rPr>
              <w:t xml:space="preserve"> panta astotās daļas izriet, ka valsts budžeta likumprojektam pievienojami paskaidrojumi. Ievērojot, ka atbilstoši Noteikumu Nr. 108 3.2. apakšpunktam normatīvā akta projektā neietver normas, kas dublē augstāka vai tāda paša spēka normatīvā akta tiesību normās ietverto normatīvo regulējumu, lūdzam svītrot projekta 38.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Natālija Pīlipa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Instrukcijas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 Finanšu ministrija atbilstoši budžeta sagatavošanas grafikam savā tīmekļa vietnē publicē atbilstoši spēkā esošajām klasifikācijām aktualizētos veidlapu paraugus. Ministrija veidlapas aizpilda tajā pašā MS Excel vai Word vidē, kādā konkrētā veidlapa sagatavota, izņemot šīs instrukcijas </w:t>
            </w:r>
            <w:r w:rsidR="00000000" w:rsidRPr="00000000" w:rsidDel="00000000">
              <w:rPr>
                <w:rtl w:val="0"/>
              </w:rPr>
              <w:t xml:space="preserve">VIII </w:t>
            </w:r>
            <w:r w:rsidR="00000000" w:rsidRPr="00000000" w:rsidDel="00000000">
              <w:rPr>
                <w:rtl w:val="0"/>
              </w:rPr>
              <w:t xml:space="preserve">nodaļā</w:t>
            </w:r>
            <w:r w:rsidR="00000000" w:rsidRPr="00000000" w:rsidDel="00000000">
              <w:rPr>
                <w:rtl w:val="0"/>
              </w:rPr>
              <w:t xml:space="preserve"> minētās veidlapas.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šobrīd pieejams plašs teksta procesoru un izklājlapu lietojumprogrammatūru klāsts, tamdēļ konkrētu lietojumprogrammatūru (šajā gadījumā </w:t>
            </w:r>
            <w:r w:rsidR="00000000" w:rsidRPr="00000000" w:rsidDel="00000000">
              <w:rPr>
                <w:i w:val="1"/>
                <w:rtl w:val="0"/>
              </w:rPr>
              <w:t xml:space="preserve">Microsoft Office</w:t>
            </w:r>
            <w:r w:rsidR="00000000" w:rsidRPr="00000000" w:rsidDel="00000000">
              <w:rPr>
                <w:rtl w:val="0"/>
              </w:rPr>
              <w:t xml:space="preserve"> produktu) noteikšana normatīvā akta projektā ir pretrunā ar tiesiskās vienlīdzības principu, ja vien tam nav atbilstošs pamatojums. Paskaidrojam, ka normatīvā akta projektā tiesību normas teksts formulējams tā, lai tas pēc iespējas precīzāk un pilnīgāk atbilstu attiecīgai iecerētai tiesību normai un tās idejai, izvairoties no pārlieki kazuistiska regulējuma. Teksts ir tikai forma, kādā tiek fiksēta norma, tāpēc tam jābūt pietuvinātam normai un jāatspoguļo normas jēga, lai tiesību piemērotājam vēlāk, iepazīstoties ar normas tekstu, nerastos aplams priekšstats par normas patieso jēgu (</w:t>
            </w:r>
            <w:r w:rsidR="00000000" w:rsidRPr="00000000" w:rsidDel="00000000">
              <w:rPr>
                <w:i w:val="1"/>
                <w:rtl w:val="0"/>
              </w:rPr>
              <w:t xml:space="preserve">sk. Valsts kanceleja. Normatīvo aktu projektu sagatavošanas rokasgrāmata, 2016. 17. lpp.</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atbilstoši precizēt projekta 42. punktu vai papildināt projekta anotāciju ar attiecīgu pamatojumu.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Natālija Pīlipa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Instrukcijas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80. Ja Finanšu ministrijai ir iebildumi pret iesniegumā norādīto informāciju, tā piecu darbdienu laikā pēc iesnieguma saņemšanas rakstiski nosūta tā iesniedzējam pamatotu atteikumu.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Informējam, ka atbilstoši Valsts valodas centra skaidrojumam dokumenta </w:t>
            </w:r>
            <w:r w:rsidR="00000000" w:rsidRPr="00000000" w:rsidDel="00000000">
              <w:rPr>
                <w:u w:val="single"/>
                <w:rtl w:val="0"/>
              </w:rPr>
              <w:t xml:space="preserve">rakstveida</w:t>
            </w:r>
            <w:r w:rsidR="00000000" w:rsidRPr="00000000" w:rsidDel="00000000">
              <w:rPr>
                <w:rtl w:val="0"/>
              </w:rPr>
              <w:t xml:space="preserve"> forma uzsver informācijas pieejamību uzrakstītā veidā, bet dokumenta </w:t>
            </w:r>
            <w:r w:rsidR="00000000" w:rsidRPr="00000000" w:rsidDel="00000000">
              <w:rPr>
                <w:u w:val="single"/>
                <w:rtl w:val="0"/>
              </w:rPr>
              <w:t xml:space="preserve">rakstiska</w:t>
            </w:r>
            <w:r w:rsidR="00000000" w:rsidRPr="00000000" w:rsidDel="00000000">
              <w:rPr>
                <w:rtl w:val="0"/>
              </w:rPr>
              <w:t xml:space="preserve"> forma kā galveno raksturojošo lielumu akcentē rakstības līdzekli, ar kura palīdzību informācija ir uzrakstīta (</w:t>
            </w:r>
            <w:r w:rsidR="00000000" w:rsidRPr="00000000" w:rsidDel="00000000">
              <w:rPr>
                <w:i w:val="1"/>
                <w:rtl w:val="0"/>
              </w:rPr>
              <w:t xml:space="preserve">sk. https://vvc.gov.lv/index.php?route=product/category&amp;path=311</w:t>
            </w:r>
            <w:r w:rsidR="00000000" w:rsidRPr="00000000" w:rsidDel="00000000">
              <w:rPr>
                <w:rtl w:val="0"/>
              </w:rPr>
              <w:t xml:space="preserve">). Ievērojot minēto, lūdzam atbilstoši precizēt projekta 80. un 83. punkta redakciju, ja vien šajos punktos norādīto informāciju nav paredzēts sagatavot papīra formā.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Natālija Pīlipa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Instrukcijas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89. Ja, sākoties saimnieciskajam gadam, nav stājies spēkā gadskārtējais valsts budžeta likums, finanšu ministrs apstiprina valsts darbībai nepieciešamos valsts budžeta izdevumus, aizdevumus un aizņēmumu limitus (turpmāk – pagaidu budžets). Pagaidu budžets tiek izstrādāts saskaņā ar </w:t>
            </w:r>
            <w:r w:rsidR="00000000" w:rsidRPr="00000000" w:rsidDel="00000000">
              <w:rPr>
                <w:rtl w:val="0"/>
              </w:rPr>
              <w:t xml:space="preserve">Likuma par budžetu un finanšu vadību 15. pantu</w:t>
            </w:r>
            <w:r w:rsidR="00000000" w:rsidRPr="00000000" w:rsidDel="00000000">
              <w:rPr>
                <w:rtl w:val="0"/>
              </w:rPr>
              <w:t xml:space="preserve"> un šajā nodaļā noteikto.</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ka Likuma par budžetu un finanšu vadību 15. pants jau noteic rīcību gadījumā, ja, sākoties saimnieciskajam gadam, nav stājies spēkā gadskārtējais valsts budžeta likums, kā arī to, ka atbilstoši Noteikumu Nr. 108 3.2. apakšpunktam normatīvā akta projektā neietver normas, kas dublē augstāka vai tāda paša spēka normatīvā akta tiesību normās ietverto normatīvo regulējumu, lūdzam svītrot projekta 89.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Natālija Pīlipa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Instrukcijas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96. Pagaidu budžeta izdevumus plāno tā, lai nodrošinātu iepriekšējā gada valsts un pašvaldību budžeta politiku turpināšanu un ievēro šādus nosacījumus: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ka Likuma par budžetu un finanšu vadību 15. panta pirmā daļa jau noteic nosacījumus, kas jāņem vērā, plānojot valsts darbībai nepieciešamos valsts budžeta izdevumus, aizdevumu un aizņēmumu limitus, ja, sākoties saimnieciskajam gadam, nav stājies spēkā gadskārtējais valsts budžeta likums, kā arī to, ka atbilstoši Noteikumu Nr. 108 3.2. apakšpunktam normatīvā akta projektā neietver normas, kas dublē augstāka vai tāda paša spēka normatīvā akta tiesību normās ietverto normatīvo regulējumu, lūdzam svītrot projekta 96.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Natālija Pīlipa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23-TA-797</w:t>
    </w:r>
    <w:r>
      <w:br/>
    </w:r>
    <w:r w:rsidR="00000000" w:rsidRPr="00000000" w:rsidDel="00000000">
      <w:rPr>
        <w:rtl w:val="0"/>
      </w:rPr>
      <w:t xml:space="preserve">Izdrukāts 21.06.2023. 17.07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23-TA-797</w:t>
    </w:r>
    <w:r>
      <w:br/>
    </w:r>
    <w:r w:rsidR="00000000" w:rsidRPr="00000000" w:rsidDel="00000000">
      <w:rPr>
        <w:rtl w:val="0"/>
      </w:rPr>
      <w:t xml:space="preserve">Izdrukāts 21.06.2023. 17.07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Atzinumi_23-TA-797.docx</dc:title>
</cp:coreProperties>
</file>

<file path=docProps/custom.xml><?xml version="1.0" encoding="utf-8"?>
<Properties xmlns="http://schemas.openxmlformats.org/officeDocument/2006/custom-properties" xmlns:vt="http://schemas.openxmlformats.org/officeDocument/2006/docPropsVTypes"/>
</file>