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Saliedētas un pilsoniski aktīvas sabiedrības attīstības pamatnostādņu 2021.–2027.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30.04.2026.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30.04.2026.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