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anotācijas 3.sadaļā punktā “Cita informācija” norādītais joprojām paredz, ka Satiksmes ministrijai likumprojekta īstenošanai ir nepieciešams papildu finansējums, bet kā jau Finanšu ministrija ir norādījusi iepriekšējos atzinumos, tad nav atbalstāma tādu normatīvo aktu virzība, kuru īstenošanai nav atrisināts jautājums par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š.g. 18.jūnija (prot. Nr. 25 74.§) lēmumam likumprojekta "Par valsts budžetu 2025. gadam un budžeta ietvaru 2025., 2026. un 2027. gadam" sagatavošanā kā vienīgais vidēja termiņa budžeta prioritārais attīstības virziens tika noteikta valsts drošība, atbilstoši kuram ministrijas varēja iesniegt priekšlikumus prioritārajiem pasākumiem, bet citu vidēja termiņa budžeta prioritāro attīstības virzienu noteikšana iespējama, pārskatot ministriju un citu centrālo valsts iestāžu esošo budžeta programmu/apakšprogrammu izdevumus vai rodot papildu finansējuma avotus, attiecīgi sagatavojot fiskāli neitrālus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likumprojekta īstenošanai nepieciešamā finansējuma jautājumu risināt Satiksmes ministrijas esošo budžeta līdzekļu ietvaros un anotācijas 3.sadaļas punktā “Cita informācija” norādīt, ka nepieciešamais finansējums 2026.gadā un turpmākajos gados tiks nodrošināts Satiksmes ministrijas esošo valsts budžeta līdzekļu ietvaros, norādot attiecīgo Satiksmes ministrijas budžeta programmu/apakšprogrammu, kuras ietvaros izdevumi tiks pārskatīti un nepieciešamais finansējums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07.08.2024.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07.08.2024.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