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22-TA-2689: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28. decembra noteikumos Nr. 1228 "Noteikumi par lielgabarīta un smagsvara pārvadājumu atļaujas izsniegšanas valsts nodevas apmēru, samaksas kārtību un atbrīvojumiem"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traktortehnikas sastāvu, ja piekabes platums nepārsniedz 3 metrus.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(21.12.2022.) izteikto iebildumu attiecībā uz šo konsolidēto noteikumu 7.4. apakšpunktu ar tur minētajiem iebildumiem. Zemkopības ministrija var atsaukt šo iebildumu, ja tiek ņemts vērā  ZM priekšlikums attiecībā uz 7.3. apakšpunkta precizēšanu.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Adris Bumbuls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traktortehnika ar maināmo tehnoloģisko agregātu vai maināmo velkamo iekārtu, kas nav paredzēta kravas vešanai, vai bez tiem, ja to kopējie parametri nepārsniedz: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Ceļu satiksmes likuma 1.panta 10</w:t>
            </w:r>
            <w:r w:rsidR="00000000" w:rsidRPr="00000000" w:rsidDel="00000000">
              <w:rPr>
                <w:vertAlign w:val="superscript"/>
                <w:rtl w:val="0"/>
              </w:rPr>
              <w:t xml:space="preserve">2</w:t>
            </w:r>
            <w:r w:rsidR="00000000" w:rsidRPr="00000000" w:rsidDel="00000000">
              <w:rPr>
                <w:rtl w:val="0"/>
              </w:rPr>
              <w:t xml:space="preserve">) daļu, maināma velkama iekārta var būt ar kravas platformu, lai uz laiku glabātu visus materiālus, kas ražoti vai vajadzīgi darba laikā. Līdz ar to, maināmo velkamo iekārtu tehnoloģiskie risinājumi paredz to ka, ar maināmo velkamo iekārtu ir iespējama kravu vešana, lai tā spētu izpildīt tai paredzēto tehnoloģisko darbību, piemēram, augu/koku/krūmu aizsardzības līdzekļu izsmidzināšanai, minerālmēslu, kaļķojumā materiālu, kūtsmēslu, digestāta, izkliedēšanai, graudu vai sakņaugu pārkraušanai, u.c. Maināmā velkamā iekārta ir paredzēta kravu vešanai, bet tās nav paredzēta kravu pārvadājuma veikšanai. Karvu pārvadājumi tiek veikti ar piekabēm.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Konsolidētā noteikumu projekta 7.3 apakšpunktā ir teikts, ka atļauju izsniedz par traktortehniku ar maināmo velkamo iekārtu, kas nav paredzēta kravas vešanai. No konsolidēto noteikumu projekta 7.3. apakšpunktā redakcijas ir skaidri saprotams, ka 12 mēneša atļauja nav attiecināma uz traktortehniku ar maināmo velkamo iekārtu, kas paredzēta kravas vešanai. Lai no traktortehnikai paredzētā atļaujas loka, nepamatoti tiktu izslēgtas maināmās velkamās iekārtas piedāvājam izvērtēšanai sekojošas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konsolidēto noteikumu  projekta 7.3. apakšpunktā redakcijas svītrot vārdus “kas nav paredzēta kravas vešanai”, jo no apakšpunkta redakcijas ir skaidri saprotams, ka prasības attiecās tikai uz traktortehniku vai traktortehniku savienojumā (sastāvā) ar maināmo tehnoloģisko agregātu vai maināmo velkamo iekārtu. Nav nepieciešams akcentēt kravas pārvadāšanas jomu, jo konkrētais apakšpunkts neattiecas uz traktortehnikas sastāvu ar piekabēm kravu pārvadājumu veikšanai,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Nr. 343 1.punktā ir teikts, ka noteikumi nosaka kārtību, kādā izsniedz lielgabarīta un smagsvara pārvadājumu atļaujas, kā arī kārtību, kādā tiek veikti šie pārvadājumi, un gadījumus, kad atļauja nav nepieciešama. Tādējādi aicinām lietot vienotu terminoloģiju un konsolidēto noteikumu projekta 7.3. apakšpunktā redakcijā aizstāt vārdus “kravas vešanai” ar vārdiem “ kravu pārvadājumu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“7.3. Atļauju izsniedz par traktortehniku ar maināmo tehnoloģisko agregātu vai maināmo velkamo iekārtu, vai bez tiem, ja to kopējie parametri nepārsniedz:”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“7.3. Atļauju izsniedz par traktortehniku ar maināmo tehnoloģisko agregātu vai maināmo velkamo iekārtu, kas nav paredzēta kravas pārvadājumu veikšanai, vai bez tiem, ja to kopējie parametri nepārsniedz:”.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Adris Bumbuls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22-TA-2689</w:t>
    </w:r>
    <w:r>
      <w:br/>
    </w:r>
    <w:r w:rsidR="00000000" w:rsidRPr="00000000" w:rsidDel="00000000">
      <w:rPr>
        <w:rtl w:val="0"/>
      </w:rPr>
      <w:t xml:space="preserve">Izdrukāts 21.03.2023.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22-TA-2689</w:t>
    </w:r>
    <w:r>
      <w:br/>
    </w:r>
    <w:r w:rsidR="00000000" w:rsidRPr="00000000" w:rsidDel="00000000">
      <w:rPr>
        <w:rtl w:val="0"/>
      </w:rPr>
      <w:t xml:space="preserve">Izdrukāts 21.03.2023.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Atzinumi_22-TA-2689.docx</dc:title>
</cp:coreProperties>
</file>

<file path=docProps/custom.xml><?xml version="1.0" encoding="utf-8"?>
<Properties xmlns="http://schemas.openxmlformats.org/officeDocument/2006/custom-properties" xmlns:vt="http://schemas.openxmlformats.org/officeDocument/2006/docPropsVTypes"/>
</file>