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Klimatnoturības un ekonomiskās ilgtspējas likuma</w:t>
            </w:r>
            <w:r w:rsidR="00000000" w:rsidRPr="00000000" w:rsidDel="00000000">
              <w:rPr>
                <w:rtl w:val="0"/>
              </w:rPr>
              <w:t xml:space="preserve"> 15.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attiecīgu pilnvarojumu Ministru kabineta noteikumu izdošanai paredz Klimatnoturības un ekonomiskās ilgtspējas likuma 15. panta astotās daļas 2. punkts, nevis 15. panta otrā daļa, tādēļ lūdzam attiecīgi precizēt norādi par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projektu iesniegumu vērtēšanas kritērijus, projektu iesniegumu iesniegšanas, vērtēšanas, apstiprināšanas un finansējuma piešķiršanas kārtību, kā arī projektu īstenošanas,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nedrīkst noteikt soda sekas, ja rezultātā projekta iesnieguma iesniedzējs un atbalsta saņēmējs konkursa ietvaros nevar pretendēt uz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jānoteic vadlīnijas vai skaidrojumus, kā pilnvarojumu īstenot. Turklāt, ja kritēriju un kārtības noteikšana ir saistīta ar soda sekām, tad Ministru kabinets šādus jautājumus vispār nedrīkstētu regulēt. </w:t>
            </w:r>
            <w:r w:rsidR="00000000" w:rsidRPr="00000000" w:rsidDel="00000000">
              <w:rPr>
                <w:b w:val="1"/>
                <w:rtl w:val="0"/>
              </w:rPr>
              <w:t xml:space="preserve">Ar sodiem, to sekām saistītie jautājumi ir jāregulē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piemēram, ir sastopamas līdzīgas tiesību normas, nav izšķirošas  nozīmes. Tāpat nav nozīmes tam, ja iepriekš izstrādājot normatīvos aktus, Ministru kabinetam tika uzdots noteikt ar sodiem, to noteikšanu, izpildi un sekām saistītus kritērijus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Emisijas kvotu izsolīšanas instrumenta (turpmāk – finanšu instruments) finansēto projektu atklāta konkursa "Atbalsts bezemisiju un mazemisiju transportlīdzekļu iegādei" (turpmāk – konkurss) nolikumu, projektu iesniegumu vērtēšanas kritērijus, projektu iesniegumu iesniegšanas, vērtēšanas, apstiprināšanas un finansējuma piešķiršanas kārtību, kā arī projektu īstenošanas,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lai tas atbilstu Klimatnoturības un ekonomiskās ilgtspējas likuma 15.panta astotās daļas 2.punktā iekļautajam deleģējumam Ministru kabinetam, kā tas noteikts  Ministru kabineta 2009. gada 3. februāra noteikumu Nr. 108 "Normatīvo aktu projektu sagatavošanas noteikumi" 100.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(turpmāk – ministrija) ar līgumu deleģē valsts sabiedrībai ar ierobežotu atbildību "Vides investīciju fonds" (turpmāk – Vides investīciju fonds) pienākumu pieņemt un vērtēt projektu iesniegumus, pieņemt lēmumus par finanšu instrumenta finansējuma piešķiršanu vai par finanšu instrumenta finansējuma piešķiršanas atteikumu, līgumu par projekta īstenošanu (turpmāk – projekta līgums) sagatavošanu, noslēgšanu, grozīšanu un izbeigšanu, pārbaudīt pārskatus un kontrolēt projektu īstenošanu, uzraudzīt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atbalsta saņēmējus monitoringa perioda ietvaros, kā arī atgūt projektiem izmaksātos finanšu instrumenta līdzekļus, kas atzīti par neattiecināmiem. Attiecībā uz šajā punktā minēto pārvaldes uzdevumu izpildi Vides investīciju fonds ir ministrijas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strīda par pienākumu sadali starp Vides investīciju fondu un Klimata un enerģētikas ministriju, lūdzam precizēt noteikumu projekta 3. punktu, precīzi atbilstoši Klimatnoturības un ekonomiskās ilgtspējas likuma 15. panta piektajā daļā paredzētajam formulējumam nosakot, kurus Klimatnoturības un ekonomiskās ilgtspējas likuma 15. panta piektajā daļā noteiktos uzdevumus, pamatojoties uz deleģēšanas līgumu, veic Vides investīciju fonds. Vienlaikus lūdzam papildināt noteikumu projekta anotāciju ar skaidrojumu, ka minētie uzdevumi tiek deleģēti ar līgumu atbilstoši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svītrot noteikumu projekta 3. punkta otro teikumu, jo tas dublē Klimatnoturības un ekonomiskās ilgtspējas likuma 15. panta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atbilstoši Klimatnoturības un ekonomiskās ilgtspējas likumā noteiktajam precizēt terminoloģiju, termina "projekta iesnieguma iesniedzējs" vietā lietojot terminu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"valsts akciju sabiedrības "Ceļu satiksmes drošības direkcija" pārziņā esošajā",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jaunu rūpnieciski ražotu M1 un N1 kategorijas elektromobiļu iegāde, kuru SEG emisijas ir 0 CO</w:t>
            </w:r>
            <w:r w:rsidR="00000000" w:rsidRPr="00000000" w:rsidDel="00000000">
              <w:rPr>
                <w:vertAlign w:val="subscript"/>
                <w:rtl w:val="0"/>
              </w:rPr>
              <w:t xml:space="preserve">2</w:t>
            </w:r>
            <w:r w:rsidR="00000000" w:rsidRPr="00000000" w:rsidDel="00000000">
              <w:rPr>
                <w:rtl w:val="0"/>
              </w:rPr>
              <w:t xml:space="preserve">/km, un kuriem atbilstības apliecinājumā atbilstoši normatīvajam aktam par riteņu transportlīdzekļu un to sastāvdaļu atbilstības novērtēšanu norādītais nobraukums pilsētas apstākļos starp pilnas uzlādes reizēm ir vismaz 150 km un transportlīdzekļu maksimālais ātrums ir vismaz 90 km/h. Ja atbilstības apliecinājumā nav norādīts nobraucamais attālums starp uzlādes reizēm, komersants, kas normatīvajos aktos noteiktajā kārtībā ierīkojis un reģistrējis transportlīdzekļu tirdzniecības vietu un ir transportlīdzekļa izgatavotāja oficiālais pārstāvis, sagatavo un vienlaikus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projekta iesniegumu iesniedz Vides investīciju fondā apliecinājumu, ka transportlīdzeklis pilsētas apstākļos starp pilnas uzlādes reizēm spēj nobraukt vismaz 150 km. Šo noteikumu izpratnē ar jaunu rūpnieciski ražotu M1 un N1 kategorijas elektromobili saprot automobili, kas ir lietots mazāk par sešiem mēnešiem vai nobraucis mazāk par 6000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norādi "komersants, kas normatīvajos aktos noteiktajā kārtībā ierīkojis un reģistrējis transportlīdzekļu tirdzniecības vietu un ir transportlīdzekļa izgatavotāja oficiālais pārstāvis" aizstāt ar atsauci uz projekta iesniedzēju, nepieciešamības gadījumā prasību par to, ka personai jābūt transportlīdzekļa izgatavotāja oficiālais pārstāvim, iekļaujot noteikumu projekta 4.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iesnieguma iesniedzējam ir tiesības iesniegt vienu projekta iesniegumu, kurā ietver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precizēt normas redakciju, atspoguļojot, vai jāietver vismaz viena aktivitāte, jo šobrīd izriet, ka jāietver visas attiecīgās aktivitātes. Papildus lūdzam izvērtēt un salāgot ar noteikumu projekta 15. punktu, no kura izriet, ka kopumā var tikt īstenotas divas aktivitātes, tomēr neizriet, vai abas aktivitātes īstenojamas viena projekta iesnieguma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iesniedzējs un atbalsta saņēmējs konkursa ietvaros nevar pretendēt uz finansējuma saņemšanu, ja attiecīgi uz projekta līguma parakstīšanas vai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argumentēti pamatot noteikumu projekta 16. punktā ietverto ierobežojumu nepieciešamību, pieļaujamību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saskatāmi kritēriji (tostarp, samērīguma un lietderības kritēriji) un pamatojums noteikumu projektā minēto pārkāpumu ietveršanai projektā.  Vēršam uzmanību, ka ir arī citi līdzvērtīgi pārkāpumi, kas ne mazākā mērā varētu ietekmēt projekta iesniedzēja iespējas pretendēt uz finansējuma saņemšanu. Anotācijā arī nav ietverts argumentēts pamatojums noteikumu projektā norādītajiem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administratīvajiem sodiem, informējam, ka persona atzīstama par administratīvi </w:t>
            </w:r>
            <w:r w:rsidR="00000000" w:rsidRPr="00000000" w:rsidDel="00000000">
              <w:rPr>
                <w:b w:val="1"/>
                <w:rtl w:val="0"/>
              </w:rPr>
              <w:t xml:space="preserve">nesodītu gadu pēc soda izpildes</w:t>
            </w:r>
            <w:r w:rsidR="00000000" w:rsidRPr="00000000" w:rsidDel="00000000">
              <w:rPr>
                <w:rtl w:val="0"/>
              </w:rPr>
              <w:t xml:space="preserve">. Savukārt, ja sods nav izpildīts, persona uzskatāma par administratīvi sodītu vēl gadu pēc soda izpildes noilguma termiņa beigām. Administratīvās atbildības likums noteic, ka administratīvā sodāmība ir administratīvo pārkāpumu izdarījušajai personai soda piemērošanas administratīvi tiesiskās sekas, kas ir spēkā nolēmuma par sodu izpildes laikā, kā arī pēc tam līdz administratīvās sodāmības dzēšanai (24. panta pirmā daļa). Citiem vārdiem sakot, administratīvā sodāmība ir tiesiskās sekas, kas iestājas saistībā ar administratīvā pārkāpuma izdarīšanu un kuras ir spēkā soda izpildes laikā un vēl vienu gadu pēc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sods kopā ar administratīvo sodāmību veido administratīvās atbildības tiesiskā sekas. Administratīvās sodāmības mērķis ir dot administratīvi sodītajai personai iespēju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visas savus pienākumus pret valsti saistībā ar izdarīto likumpārkāpumu.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tiesiskās sekas var izpausties kā: 1) personu raksturojošs elements, ko ņem vērā, nosakot administratīvā soda veidu un mēra, ja sodāmības termiņa laikā izdarīts jauns administratīvais pārkāpums; 2) administratīvi tiesiskās sekas, kas likumā noteiktajos gadījumos neļauj pretendēt uz speciālo tiesību piešķiršanu.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projektā nav ierobežots laiks, kad personai tiek liegts pretendēt uz finansējuma saņemšana saistībā ar tās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iesnieguma iesniedzējam projekta iesnieguma iesniegšanas termiņam tuvākajā dienā, kurā pieejama Valsts ieņēmumu dienesta informācija par nodokļu parādiem, vai atbalsta saņēmējam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pirkumam tuvākajā dienā, kurā pieejama Valsts ieņēmumu dienesta informācija par nodokļu parādiem, ir nodokļu parādi, tai skaitā valsts sociālās apdrošināšanas obligāto iemaksu parādi, kas kopsummā pārsniedz 150</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16. punkta ievaddaļu ar 16.1. apakšpunktu. Vēršam uzmanību, ka 16. punkta ievaddaļā jau norādīts uz projekta līguma parakstīšanas vai atbalsta piešķiršanas brīdi, tādēļ regulējums par projekta iesnieguma iesniedzējam projekta iesnieguma iesniegšanas termiņam tuvāko dienu vai pirkumam tuvāko dienu ir pretrunā ar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nedz noteikumu projekts, nedz arī noteikumu projekta anotācija nesniedz skaidrojumu, kādēļ tieši par noteikumu projekta 16.5. apakšpunktā uzskaitītajiem noziedzīgajiem nodarījumiem persona nevar pretendēt uz finansējuma saņemšanu. Šajā sakarā norādām, ka nepieciešams noteikumu projekta anotācijā ietvert skaidrojumu, kādēļ tieši par attiecīgajiem noziedzīgajiem nodarījumiem komersantam būtu jānoteic ierobežojums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16.5.  apakšpunktā noteiktais ierobežojums finansējuma saņemšanai ir absolūts, proti, noteikts uz neierobežotu laiku vai arī uz laiku līdz tiek dzēsta vai noņemta komersanta vai tās pārstāvja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pēc izvērtējuma ir secināms, ka ierobežojums nav nosakāms absolūts, noteikumu projekta 16.5. apakšpunktu nepieciešams papildināt, nosakot, ka šāds ierobežojums neattiecas uz gadījumiem, kad fiziskās personas sodāmība ir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16.5.1. kukuļņemšana, kukuļdošana, kukuļa piesavināšanās, starpniecība kukuļošanā, neatļauta labumu pieņemšana, komerciāla uzpirkšana, neatļauta piedalīšanās mantiskos darījumos, prettiesiska labumu pieprasīšana, pieņemšana un došana vai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kukuļdošana un kukuļņemšana ar starpniecību ir atzīstama par noziedzīgu nodarījumu saskaņā ar Krimināllikuma 320. pantu “Kukuļņemšana” vai Krimināllikuma 323. pantu “Kukuļdošana”, un šādi gadījumi ir ietverti jēdzienu “kukuļņemšana” un “kukuļdošana” tvērumā. Saskaņā ar 2022. gada 7. aprīlī pieņemtā likuma "Grozījumi Krimināllikumā" 38. pantu, Krimināllikuma 322. pants "Starpniecība kukuļošanā", kas paredzēja kriminālatbildību par starpniecību kukuļošanā, tas ir, darbībām, kas izpaužas kā kukuļa vai tā apsolījuma vai piedāvājuma nodošana no kukuļdevēja kukuļņēmējam, ir izslēgts, līdz ar to lūdzam izslēgt vārdus "starpniecība kukuļošanā".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16.7.1. vienas vai vairāku personu nodarbināšana, ja tām nav nepieciešamās darba atļaujas vai ja tās nav tiesīgas uzturēties Eiropas Savienības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16.7. apakšpunktā saskatāmi gan kriminālatbildības, gan administratīvās atbildības jautājumi, līdz ar to piedāvājam nodalīt kriminālatbildības jautājumus, pievienojot to 16.5. apakšpunkta uzskaitījumam (kā 16.5.5. apakšpunktu). Minētās darbības ir sodāmas saskaņā ar Krimināllikuma 280.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personas nodarbināšana bez rakstveidā noslēgta darba līguma vai nodokļu normatīvajos aktos noteiktajā termiņā par šo personu neiesniegta informatīvā deklarācija par darba ņēmējiem (minētā deklarācija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"(minētā deklarācija iesniedzama par personām, kuras uzsāk darbu)", neskaidrojot attiecīgajos normatīvajos aktos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līmenī noteikt tiesisko pamatu Vides investīciju fonda tiesībām apstrādāt projekta iesnieguma iesniedzēja sodāmības datus. Iepazīstoties ar Klimatnoturības un ekonomiskās ilgtspējas likuma 15. panta astotajā daļā ietverto deleģējumu Ministru kabinetam, secināms, ka minētais likums neparedz Ministru kabinetam noteikt Vides investīciju fonda tiesības apstrādāt informāciju par personas sodāmību. Paskaidrojam, ka, ņemot vērā, ka jebkura personas datu apstrāde ir uzskatāma par pamattiesību ierobežojumu, turklāt sodāmības datiem, kas pēc savas būtības ir īpaši sensitīvi, pienākas īpaša aizsardzība, to apstrādei noteiktas īpašas prasības (Eiropas Parlamenta un Padomes 2016. gada 27. aprīļa Regulā (ES) 2016/679 par fizisku personu aizsardzību attiecībā uz personas datu apstrādi un šādu datu brīvu apriti un ar ko atceļ Direktīvu 95/46/EK (Vispārīgā datu aizsardzības regula) personas datu apstrāde par sodāmību un pārkāpumiem (regulas 10. pants) tiek īpaši stingri regulēta), tā pamatā ir nosakāma ar Latvijas Republikas Saeimas pieņemtu likumu. Likumā būtu nosakāms vismaz personas datu apstrādes nolūks, apstrādājamo personas datu kategorijas un kādu kategoriju datu subjektu dati tiks apstrādāti, paredzot Ministru kabinetam tiesības lemt par mazāk būtiskiem datu apstrādes nosacījumiem. Tādēļ, lai izvairītos no situācijas, ka Ministru kabinets bez attiecīga likumdevēja pilnvarojuma daļēji pats nosaka sev pamattiesību ierobežošanas robežas, projekta turpmāka virzība attiecībā uz Vides investīciju fonda tiesībām pieprasīt sodāmības datus no Iekšlietu ministrijas Informācijas centra pieļaujama tikai pēc atbilstoša tiesiskā regulējuma iestrādes Klimatnoturības un ekonomiskās ilgtspējas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izvērtēt, kādas ziņas ir nepieciešams pieprasīt no Sodu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visiem personai piemērotajiem noteikumu projekta 16.7. apakšpunktā minētajiem administratīvajiem sodiem. Skaidrojam, ka piekļuve šādam neierobežotam datu apjomam varētu būtiski aizskart citu personu tiesības un intereses. Kā arī lūdzam no Sodu reģistra pieprasāmo datu apjomu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Vides investīciju fonds izsludina konkursu, ievietojot sludinājumu oficiālajā izdevumā "Latvijas Vēstnesis" un Vides investīciju fonda tīmekļvietnē. Sludinājumā norāda konkursa nosaukumu, konkursam pieejamo finanšu instrumenta finansējuma apmēru, projektu iesniegumu iesniegšanas termiņu (datumu un laiku) un elektroniskā pasta adresi, uz kuru nosūtāmi projektu iesniegumi un kur iegūstama papildinformācija par konkursa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regulējumu noteikumu projekta 3. punktā un noteikumu projekta 28. punktā, jo 3. punktā nav iekļauts pienākums Vides investīciju fondam organizēt attiecīgu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iesniegumu sagatavo un noformē atbilstoši normatīvajiem aktiem par dokumentu izstrādāšanu un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32.1. apakšpunktu, nedublējot noteikumu projekta 32.3. apakšpunktu. Ierosinām svītrot noteikumu projekta 32. un 33. punktu, jo konkrētie nosacījumi pamatā izriet jau no citiem normatīvajiem aktiem, turklāt minētie nosacījumi jau ir iekļauti vērtēšanas kritērijos noteikumu projekta 3.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projekta iesnieguma veidlapu paraksta ar drošu elektronisko parakstu, kas satur laika zīmogu, papildus iesniedzamo dokumentu oriģinālus paraksta katru atsevišķi ar autora drošu elektronisko parakstu un apliecina ar laika zīmogu pirms projektu iesniegumu iesniegšanas termiņa beigām. Ja papildus iesniedzamie dokumenti ir dokumentu kopijas, tos apliecina ar projekta iesnieguma iesniedzēja drošu elektronisko parakstu un laika zīmogu pirms projektu iesniegumu iesniegšanas termiņa beigām atbilstoši normatīvajiem aktiem par elektroniskajiem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32.6. apakšpunktu, nedublējot 32.1. un 32.3.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projekta iesniegumu saņem pēc projektu iesniegumu iesniegšanas termiņa beigām, tas netiek vērtēts un Vides investīciju fonds rakstiski informē projekta iesnieguma iesniedzēju par projekta iesnieguma saņemšanu pēc termiņa beigām un atteikumu to 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punkta regulējumu atbilstoši Administratīvā procesa likuma 63. panta pirmās daļas 3. punktā noteiktajam, proti, ja projekta iesniegums saņemts pēc projektu iesniegumu iesniegšanas termiņa beigām, tad Vides investīciju fonds pieņem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iesnieguma vērtēšana un lēmuma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regulējumu, kas paredz, kur iesnieguma iesniedzējs var apstrīdēt Vides investīciju fonda lēmumu par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 veidni līgumam, kas noslēdzams starp  Vides investīciju fondu, atbalsta saņēmēju un līzinga devēju (ja tiek izmantots šo noteikumu</w:t>
            </w:r>
            <w:r w:rsidR="00000000" w:rsidRPr="00000000" w:rsidDel="00000000">
              <w:rPr>
                <w:color w:val="#c0392b"/>
                <w:rtl w:val="0"/>
              </w:rPr>
              <w:t xml:space="preserve">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w:t>
            </w:r>
            <w:r w:rsidR="00000000" w:rsidRPr="00000000" w:rsidDel="00000000">
              <w:rPr>
                <w:color w:val="#c0392b"/>
                <w:rtl w:val="0"/>
              </w:rPr>
              <w:t xml:space="preserve"> </w:t>
            </w:r>
            <w:r w:rsidR="00000000" w:rsidRPr="00000000" w:rsidDel="00000000">
              <w:rPr>
                <w:rtl w:val="0"/>
              </w:rPr>
              <w:t xml:space="preserve">minētais līzinga pakalpojums) par atbalsta saņemšanu transportlīdzekļa iegādei. Līguma veidnē ietver līguma būtiskās sastāvdaļas;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norādi, ka līguma veidnē ietveramas līguma būtiskās sastāvdaļas, jo jebkurā līgumā ietveramas tā būtiskās sastāvdaļas, tādēļ no noteikumu projekta neizriet attiecīgās norādes viennozīmīgs nolūks, turklāt līgumos atbilstoši Civillikumam var būt arī dabiskās un nejaušās sastāvdaļas.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ievietojot savā tīmekļvietnē (ja tāda ir) informāciju par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53.1. apakšpunktu, nedublējot noteikumu projekta 28.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tirdzniecības vietā izvietojot informatīvu plāksni (baneri, plakātu) par finanšu instrumentu atbilstoši finanšu instrumenta simbolikas un tās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skaidrot, kādā ārējā normatīvajā aktā ietverti finanšu instrumenta simbolikas un tās lietošanas noteikumi vai svītrot atsauci uz minētajiem noteikumiem, nepieciešamības gadījumā nodrošinot to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Projekta īstenotājs mēneša laikā pēc līguma ar atbalsta saņēmēju noslēgšanas neiesniedz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minētos dokumentus, tad Vides investīciju fondam ir tiesības vienpusēji atkāpties no līgumā ar atbalsta saņēmēju noteiktajām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55. punkta neizriet, no kāda tieši līguma Vides investīciju fonds var vienpusēji atkāpties, tādēļ lūdzam attiecīgi precizēt. Kā arī lūdzam nodrošināt, ka attiecīgā līguma nosaukums noteikumu projektā tiek konsekventi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noteikumu projekta ietvaros apstrādājamo personas datu glabāšanas termiņu, anotācijā sniedzot skaidrojumu, kas pamatotu izvēlēto datu glabāšanas termiņu. Atbilstoši Vispārīgās datu aizsardzības regulas 5. panta 1. punkta "e" apakšpunktā ietvertajam glabāšanas ierobežojuma principam, personas datus glabā tikai tik ilgi, kamēr tie ir nepieciešami nolūkiem, kuros to apstrādā. Papildus norādāms, ka regulā nav noteikti konkrēti termiņi datu glabāšanai, tomēr šie termiņi ir saistīti ar pārziņa datu apstrādes nolūkiem un to sasniegšanai nepieciešamo datu apjomu. Tādēļ, ievērojot glabāšanas ierobežojuma principu, noteikumu projektā ir nosakāms personas datu glabāšanas termiņš, savukārt anotācija ir papildināma ar attiecīgu skaidrojumu, kas pamatotu datu glabāšanas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pielikumā ietverto norādi par piekrišanas sniegšanu, kas paredz Vides investīciju fonda tiesības pārbaudīt noteiktu informāciju par projekta iesnieguma iesniedzēju, ņemot vērā, ka šādas piekrišanas sniegšana kā tiesiskais pamats personas datu apstrādei nebūs atbilstošs Vispārīgās datu aizsardzības regulas prasībām. Paskaidrojam, ka Vispārīgā datu aizsardzības regula, jo īpaši 7.pants, paredz nosacījumus, lai personas piekrišana tā personas datu apstrādei būtu atzīstama par tiesisku un atbilstošu. Tajā skaitā lūgumam sniegt piekrišanu jābūt skaidri atšķirtam no citiem jautājumiem, piekrišanai jābūt brīvi sniegtai - līguma izpilde vai pakalpojuma saņemšana nav tikai atkarīga no tā, vai persona ir sniegusi piekrišanu tā personas datu apstrādei. No noteikumu projekta saprotams, ka projekta iesnieguma iesniedzējs bez piekrišanas sniegšanas par savu personas datu apstrādi nemaz nevar pretendēt uz finansējuma saņemšanu, tādēļ šāda piekrišana nevar būt atzīstama par atbilstošu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noteikumu projekta pamattekstā un 3. pielikumā minēto. Tostarp, bet ne tikai, vēršam uzmanību, ka pretēji minētajam pielikumam prasības projekta iesniedzējam nav ietvertas vienīgi noteikumu projekta 4. punktā, savukārt 15. punktā faktiski minētas prasības atbalsta saņēmējam. Tāpat, piemēram, no 2.6. kritērija neizriet, kas ir domāts ar elektronisko dokumentu, turklāt no noteikumu projekta jau izriet, ka projekta iesnieguma veidlapu sagatavo DOC, DOCX vai PDF formātā, noteikumu projektā cituviet netiek lietots termins administratīvās vērtēšanas kritēriji, arī atsauce uz šo noteikumu 41. punktu ir nekorekta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iesnieguma iesniedzējs ir valsts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atbalsta saņēmēja īpašumā esoša viena M1 un N1 kategorijas transportlīdzekļa bezatlīdzības nodošana Ukrainas bruņotajiem spēkiem  ar mērķi sniegt tiešu atbalstu Ukrainas valsts aizsardzībai, ja minētais transportlīdzeklis ir aprīkots ar iekšdedzes dzinēju, ir reģistrēts Latvijas Republikā, ir reģistrēts atbalsta saņēmēja īpašumā un uz nodošanas brīdi ir derīga pielaide ceļu satiksmei.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8.5. un 8.7. apakšpunktā minēto norādi "ir derīga pielaide ceļu satiksmei" atbilstoši Ceļu satiksmes likumā lietotajai terminoloģijai, proti, tā 9. panta pirmās daļas 1. punkts paredz, ka Latvijas teritorijā ceļu satiksmē atļauts izmantot reģistrētus transportlīdzekļus, kuriem cita starp ir dota atļauja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minētais transportlīdzeklis ir nozagts, atzīts par bojā gājušu vai ir bojāts, tad atbalsta saņēmējs līgumā par atbalsta saņemšanu noteiktās saistības var izpildīt, iegādājoties no piesaistītiem vai paša līdzekļiem atbilstoša veida (elektromobilis, ūdeņraža automobilis vai ārēji lādējams hibrīdauto) jaunu vai lietotu transportlīdzekli. Atbalsta saņēmēja nāves gadījumā, ja uz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minēto transportlīdzekli nepretendē mantinieki, tad līgumā par atbalsta saņemšanu noteiktās saistības tiek uzskatītas par izpildītām.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382. pantā definēts mantojuma jēdziens. Proti, mantojums ir kopība, kurā ietilpst visa kustamā un nekustamā manta, kā arī citiem atdodamās tiesības un saistības, kas mirušam piederējušas viņa nāves laikā. Šajā ziņā mirušo vai par mirušu izsludināto sauc par mantojuma atstājēju. Savukārt ar mantojuma iegūšanu uz mantinieku pāriet, līdz ar mantojuma atstājēja tiesībām, arī visas viņa saistības, izņemot tīri personiskās. (Sk., Civillikuma 705.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mantojuma kopībā ieskaitāma ne tikai esošā, bet arī vēlāk konstatētā manta, kā arī lietu tiesības (piemēram, īpašuma tiesības, īpašuma atsavināšanas aizliegums u.tml.), saistību tiesības (piemēram, no līgumiem izrietošās – pirkums, patapinājums, glabājums, aizdevums, dāvinājums u.tml.), tostarp visas mantojuma atstājēja parādu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mantojumu, mantinieki pieņem pilnā apmērā arī saistības, kas izriet no saņemtā atbalsta, tostarp arī gadījumā, ja transportlīdzekļa īpašnieks ir līzinga devējs. Jebkurā gadījumā kreditoram ir izvēles brīvība attiecībā uz savu tiesību realizēšanu mantojuma lietā, atbilstoši piedāvātajai redakcijai, var arī nerealizēt kreditora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minēto noteikumu projekta kontekstā indikatīvi saskatāma cita situācija, ko lūdzam vērtēt. Proti, ja transportlīdzekļa iegāde tiek finansēta ar līzingu un tiek saņemts maksimālais atbalsts, tad atbalsta saņēmēja nāves gadījumā pie konkrētiem apstākļiem saistības tiek uzskatītas par izpildītām, savukārt auto īpašnieks (līzinga kompānija) automašīnu tālāk var atsavināt par tirgus vērtību, tādējādi gūstot nosacītu peļņu arī no saņemtā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ir veiksmīgi nodalīti gadījumi, kad iesniedzēji ir fiziskas personas un juridiskās personas (16.5. un 16.6. apakšpunkts), tomēr iesakām skaidrības labad apakšpunktos precizēt un izcelt, ka 16.5. apakšpunktā projekta iesniedzējs ir fiziska persona, savukārt 16.6. apakšpunktā -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iesnieguma iesniedzējs, atbalsta saņēmējs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vai tai ir piemērots piespiedu ietekmēšanas līdzeklis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jo šobrīd vienuviet norādīts uz projekta iesnieguma iesniedzēju, bet cituviet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personas nodarbināšana bez rakstveidā noslēgta darba līguma vai nodokļu normatīvajos aktos noteiktajā termiņā par šo personu neiesniegta informatīvā deklarācija par darba ņēmējiem (minētā deklarācija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16.7.1. apakšpunkts tiktu integrēts 16.5.1. apakšpunkta uzskaitījumā, šo vairs nav nepieciešams izcelt kā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Patrīcija Suseja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pārbaudītu, vai projekta iesnieguma iesniedzējs nav atzīts par vainīgu kādā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minētajiem noziedzīgajiem nodarījumiem un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minētajiem administratīvajiem pārkāpumiem,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norāde "</w:t>
            </w:r>
            <w:r w:rsidR="00000000" w:rsidRPr="00000000" w:rsidDel="00000000">
              <w:rPr>
                <w:u w:val="single"/>
                <w:rtl w:val="0"/>
              </w:rPr>
              <w:t xml:space="preserve">projekta iesnieguma iesniedzējs</w:t>
            </w:r>
            <w:r w:rsidR="00000000" w:rsidRPr="00000000" w:rsidDel="00000000">
              <w:rPr>
                <w:rtl w:val="0"/>
              </w:rPr>
              <w:t xml:space="preserve"> nav atzīts par vainīgu" faktiski nav pārāk šaura, jo 16. punkts, tostarp 16.5., 16.7. apakšpunkts, paredz plašāku tiesību subjektu loku, ne vien projekta iesnieguma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iesnieguma iesniedzējs konkursa ietvaros nodrošina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prasību izpildi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"konkursa ietvaros", jo konkurss projekta īstenošanas laikā jau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minētās aktivitātes ietvaros vienam elektromobilim,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minētās aktivitātes ietvaros vienam ūdeņraža automobilim un un šo noteikumu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 ietvaros vienam ārēji lādējamam hibrīdauto – 6750</w:t>
            </w:r>
            <w:r w:rsidR="00000000" w:rsidRPr="00000000" w:rsidDel="00000000">
              <w:rPr>
                <w:i w:val="1"/>
                <w:rtl w:val="0"/>
              </w:rPr>
              <w:t xml:space="preserve"> euro</w:t>
            </w:r>
            <w:r w:rsidR="00000000" w:rsidRPr="00000000" w:rsidDel="00000000">
              <w:rPr>
                <w:rtl w:val="0"/>
              </w:rPr>
              <w:t xml:space="preserve">, ja atbalsta saņēmējs ir persona, kurai ir piešķirta Latvijas Goda ģimenes apliecība, un tiek iegādāts transportlīdzeklis ar vismaz piecām sēdvietām;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20. punkta apakšpunktus ("un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minētais transportlīdzeklis nav saņēmis atbalstu finanšu instrumenta, citu finansējuma programmu ietvaros vai individuālā atbalsta projekta ietvaros no citiem finanšu instrumentiem, tai skaitā no Eiropas Savienības vai ārvalstu finanšu palīdzības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transportlīdzeklis nevar saņemt finanšu atbalstu, tādēļ lūdzam redakcionāli precizēt, norādot subjektu, kurš nav saņēmis atbalstu, vai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aktivitātē elektromobiļa pirmās reģistrācijas datums ir ne vēlāks kā septiņi gadi pirms atbalsta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23.3. un 23.4. apakšpunktu, jo šo noteikumu 8.4. apakšpunkta aktivitāte paredz ūdeņraža automobiļa, nevis elektromobiļa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tās atbilst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salāgot ar 24. punktu, kas jau paredz, ka šo noteikumu 24. punktā minētas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atbalsta saņēmējs un, ja tiek izmantots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minētais līzinga pakalpojums, līzinga devējs nodrošina, ka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minētās aktivitātes ietvaros iegādātais transportlīdzeklis netiek atsavināts vismaz piecus gadus kopš tā iegādes brīža vai kamēr ar to veikts vismaz 52 000 km nobraukums (no brīža, kad transportlīdzeklis reģistrēts atbalsta saņēmēja īpašumā vai turējumā), ja tas tiek sasniegts mazāk nekā piecos gados, izņemot gadījumu, kad iegādātais transportlīdzeklis ir nolaupīts vai atzīts par bojā gājušu tādu apstākļu dēļ, kur nav konstatēta atbalsta saņēmēja vaina, un īpašuma tiesības uz transportlīdzekli iegūst apdrošināšanas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norma nebūtu papildināma, lietojot, piemēram, šādu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iegādātais transportlīdzeklis ir nozagts, nolaupīts, eksplodējis, iznīcināts vai kļuvis nederīgs lietošanai, un minētos faktus apstiprina apdrošinātāja lēmums par transportlīdzekļa norakstīšanu.”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piedaloties ceļu satiksmē, var būt situācijas, kad transportlīdzeklis tiek iznīcināts vai kļūst nederīgs lietošanai arī atbalsta saņēmēja vainas dēļ, tomēr apdrošinātājs nosedz visus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vērtēt, vai nebūtu situācijas, kurās, piemēram, apdrošinātājam būtu pienākums nosegt izsniegto atbalstu daļējā apmērā. Pašreizējā redakcija teorētiski paredz, ka, ja transportlīdzeklis tiek nozagts drīz pēc tā iegādes, atbalsta saņēmējam nav pienākuma segt saņemto atbalstu, bet īpašnieks — kas var būt atbalsta saņēmējs vai līzinga devējs — no apdrošinātāja saņem pilnu transportlīdzekļa vērtības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projekta iesnieguma veidlapu sagatavo DOC, DOCX vai PDF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konkrētajā detalizācijas pakāpē noteikumu projektā (ārējā normatīvajā aktā) aprakstīt projekta iesnieguma veidlapas sagatavošanu. Ierosinām tā vietā vadlīnijas projekta iesnieguma sagatavošanai ietvert atbildīgās ministrijas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48.12. citus nosacījumus, kas nepieciešami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kādi vēl nosacījumi varētu būt nepieciešami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 paredzēts izpildīt Klimatnoturības un ekonomiskās ilgtspējas likuma 15. panta astotās daļas pilnvarojumu, kas paredz Ministru kabinetam noteikt kārtību, kādā izsola Latvijai piešķirtās emisijas kvotas un neattiecināmo Emisijas kvotu izsolīšanas instrumenta līdzekļu atgūšanas nosacījumus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kādā veidā tiks izgūti dati no Uzturlīdzekļu garantiju fonda iesniedzēju un parādnieku reģistra 16.8. apakšpunktā minētā nosacījuma pārbaudei. Piemēram, vai dati tiks izgūti tāpat kā Ministru kabineta 2021. gada 21. decembra noteikumu Nr. 896 "Emisijas kvotu izsolīšanas instrumenta finansēto projektu atklāta konkursa "Siltumnīcefekta gāzu emisijas samazināšana transporta sektorā – atbalsts bezemisiju un mazemisiju transportlīdzekļu iegādei" nolikums" 14.8. apakšpunkta pārbaudei, izmantojot www.latvija.gov.lv pieejamo informāciju, kas tiek sniegta par Uzturlīdzekļu garantiju fonda parādniekiem saskaņā ar Uzturlīdzekļu garantiju fonda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Roberta Lontone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fizisko personu datu apstrādi, lūdzam atbilstoši Valsts kancelejas 2021.gada vadlīnijās sākotnējās ietekmes novērtēšanai un novērtējuma ziņojuma sagatavošanai vienotajā tiesību aktu izstrādes un saskaņošanas portālā noteiktajam aizpildīt anotācijas 8.1.13. apakšsadaļu, ietverot skaidru un saprotamu informāciju par projektā paredzēto personu datu apstrādi, norādot tiesisko pamatojumu personu datu apstrādei,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