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12. augusta noteikumos Nr. 471 "Parakstu vākšanas tiešsaistes sistēmu drošības un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 punktā minētai prasībai, par personai attiecīgās pašvaldības administratīvajā teritorijā piederošā, likumā noteiktajā kārtībā, reģistrēta nekustama īpašuma esamību,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tiešsaistes datu pārraides režīmā sniedz Tiesu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1.pantam nekustamo īpašumu Zemesgrāmatā ieraksta, nevis reģistrē. Ierosinām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 punktā minētai prasībai, par personai attiecīgās pašvaldības administratīvajā teritorijā piederošā, likumā noteiktajā kārtībā, reģistrēta nekustama īpašuma esamību,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tiešsaistes datu pārraides režīmā sniedz Tiesu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1.pantam nekustamo īpašumu Zemesgrāmatā ieraksta, nevis reģistrē.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Piševa (TA) (Māris Kumerdanks (TA)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08.08.2024.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08.08.2024.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Atzinumi_24-TA-1280.docx</dc:title>
</cp:coreProperties>
</file>

<file path=docProps/custom.xml><?xml version="1.0" encoding="utf-8"?>
<Properties xmlns="http://schemas.openxmlformats.org/officeDocument/2006/custom-properties" xmlns:vt="http://schemas.openxmlformats.org/officeDocument/2006/docPropsVTypes"/>
</file>