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Vides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nesadrumstalotu vides kvalitāti raksturojošo faktoru un to ietekmes uz veselību regulējumu, ietverot tos vairākos normatīvajos aktos, aicinām veidot vienotus trokšņa, tai skaitā izklaides trokšņa, pārvaldības noteikumus, paredzot Vides aizsardzības likumā atbilstošu deleģējumu. Arī izklaides troksnis ir nevēlams vai kaitīgs cilvēka darbības radīts āra troksnis un atbilst Eiropas Parlamenta un Padomes direktīvā 2002/49/EK (2002. gada 25. jūnijs) par vides trokšņa novērtēšanu un pārvaldību minētajai vides trokšņa definīcijai. Papildus vēršam uzmanību, ka Tiesībsargs norāda, ka, lai gan valsts ir veikusi pasākumus, ar kuriem ir iespējams regulēt izklaides trokšņa jomu, šie pasākumi nav veikti pienācīgā kārtībā un tie nenodrošina personu tiesību uz mājokļa neaizskaramību efektīvu aizsardzību, nepasargā personas no kaitīgās trokšņa ietekmes uz veselību, kā arī neveicina vides kvalitātes uzlabošanu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w:t>
            </w:r>
            <w:r w:rsidR="00000000" w:rsidRPr="00000000" w:rsidDel="00000000">
              <w:rPr>
                <w:b w:val="1"/>
                <w:rtl w:val="0"/>
              </w:rPr>
              <w:t xml:space="preserve"> </w:t>
            </w:r>
            <w:r w:rsidR="00000000" w:rsidRPr="00000000" w:rsidDel="00000000">
              <w:rPr>
                <w:rtl w:val="0"/>
              </w:rPr>
              <w:t xml:space="preserve">rūpnieciskās darbības zonās, tai skaitā piesārņojošo darbību (iekārtu) rezultātā;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uztur iepriekš izteikto iebildumu, ka likuma 1. panta 24</w:t>
            </w:r>
            <w:r w:rsidR="00000000" w:rsidRPr="00000000" w:rsidDel="00000000">
              <w:rPr>
                <w:vertAlign w:val="superscript"/>
                <w:rtl w:val="0"/>
              </w:rPr>
              <w:t xml:space="preserve">1</w:t>
            </w:r>
            <w:r w:rsidR="00000000" w:rsidRPr="00000000" w:rsidDel="00000000">
              <w:rPr>
                <w:rtl w:val="0"/>
              </w:rPr>
              <w:t xml:space="preserve">. punkts būtu papildināms. Likumprojektā norādītā "vides trokšņa" definīcija neaptver citu saimnieciskās darbības troksni, ko rada iekārtas, kas nav rūpniecības zonās (piemēram, ventilācijas sistēmu radītais troksnis u.t.t.).  Minētās iekārtas neatrodas rūpnieciskās darbības zonā un pēc piedāvātās definīcijas nav jāuzrauga un sūdzības par to radīto troksni nav jāizskata, jo nav pieskaitāmas pie tādām, kas rada vides troksni. Eiropas Parlamenta un Padomes direktīvā 2002/49/EK (2002. gada 25. jūnijs) par vides trokšņa novērtēšanu un pārvaldību, cita starpā, norādīts, uz kādu troksni Direktīva neattiecas. Tā, Preambulā norādīts, ka "Šī direktīva neattiecas uz dažām trokšņa kategorijām, piemēram, transportlīdzekļu iekšienē radīto troksni un sadzīves troksni", bet 2.panta 2.punktā noteikts, ka "Šo direktīvu nepiemēro attiecībā uz troksni, ko rada persona, uz kuru troksnis iedarbojas, sadzīves troksni, kaimiņu radīto troksni, troksni darbavietās, troksni transportlīdzekļu iekšienē vai troksni, ko radījušas militāras darbības militāra konflikta zonās."  Pie tam Direktīvas 3.pantā "Definīcijas" noteikts, ka "vides troksnis" nozīmē nevēlamu vai kaitīgu cilvēka darbības radītu āra troksni, </w:t>
            </w:r>
            <w:r w:rsidR="00000000" w:rsidRPr="00000000" w:rsidDel="00000000">
              <w:rPr>
                <w:b w:val="1"/>
                <w:rtl w:val="0"/>
              </w:rPr>
              <w:t xml:space="preserve">ieskaitot troksni</w:t>
            </w:r>
            <w:r w:rsidR="00000000" w:rsidRPr="00000000" w:rsidDel="00000000">
              <w:rPr>
                <w:rtl w:val="0"/>
              </w:rPr>
              <w:t xml:space="preserve">, ko izraisa transportlīdzekļi, ceļu satiksme, dzelzceļu satiksme, gaisa satiksme un kas rodas rūpnieciskas darbības zonās, piemēram tādās, kā noteikts I pielikumā Padomes Direktīvā 96/61/EK (1996. gada 24. septembris) par piesārņojuma integrētu novēršanu un kontroli. Tas nozīmē, ka vides troksnis var būt ne tikai troksnis, ko izraisa transportlīdzekļi, ceļu satiksme, dzelzceļu satiksme, gaisa satiksme un kas rodas rūpnieciskas darbības zonās. Ņemot vērā minēto, aicinām piemērojamo trokšņa izpratni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vides troksnis - nevēlams vai kaitīgs cilvēka darbības rezultātā radīts āra troksnis, ieskaitot troksni, ko izraisa transportlīdzekļi, ceļu satiksme, dzelzceļa satiksme, gaisa satiksme, un troksnis, kas rodas rūpnieciskās darbības zonās, kā arī citu piesārņojošu darbību (iekārtu)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Linča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14.50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10.10.2025. 14.50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