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"Būdžas"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iesnieguma datumu, ar kuru atsavināmā nekustamā īpašuma daļas īpašnieks pieteicis prasījumus un informējis par apstākļiem un lietām, kas var ietekmēt atsavināmā nekustamā īpašuma vērtību (2022. gada </w:t>
            </w:r>
            <w:r w:rsidR="00000000" w:rsidRPr="00000000" w:rsidDel="00000000">
              <w:rPr>
                <w:u w:val="single"/>
                <w:rtl w:val="0"/>
              </w:rPr>
              <w:t xml:space="preserve">2.</w:t>
            </w:r>
            <w:r w:rsidR="00000000" w:rsidRPr="00000000" w:rsidDel="00000000">
              <w:rPr>
                <w:rtl w:val="0"/>
              </w:rPr>
              <w:t xml:space="preserve"> novembra iesniegums).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aprakstā"</w:t>
            </w:r>
            <w:r w:rsidR="00000000" w:rsidRPr="00000000" w:rsidDel="00000000">
              <w:rPr>
                <w:rtl w:val="0"/>
              </w:rPr>
              <w:t xml:space="preserve"> norādīts, ka uz zemes vienības ar kadastra apzīmējumu 40460110122, kas netiks atsavināta ar izstrādāto rīkojumu, atrodas būves ar kadastra apzīmējumiem 40460110009001 (dzīvojamā māja), 40460110009002 (klēts), 40460110009004 (šķūnis). Vēršam uzmanību, ka atbilstoši Tiesību akta lietai pievienotajiem Kadastra informācijas sistēmas teksta datiem uz minētās zemes vienības atrodas vēl 5 būves (kadastra apzīmējumi 40460110009003 (šķūnis), 40460110009006 (kalte), 40460110009007 (graudu noliktava), 40460110009008 (šķūnis) un 40460110009009 (šķūnis)). Ņemot vērā minēto,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Civillikuma 2174. panta interpretāciju, jo anotācijā daļēji ir norādītas tiesiskās sekas, kādas iestājas atsavinot nekustamo īpašumu uz likuma pamata, proti, nekustamais īpašums pāries valsts īpašumā brīvs no visiem apgrūtinājumiem un nastām, kuras nekustamajam īpašumam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ja īpašums tiek atsavināts, noslēdzot ar nekustamā īpašuma īpašnieku līgumu par nekustamā īpašuma labprātīgu atsavināšanu, tad piemērojami Civillikuma 2174. panta noteikumi, par to, ka ieguvējam (valstij) ir tiesības uzteikt tādu nomas līgumu, kas nav ierakstīts zemesgrāmatā. Nomas līguma uzteikšanas gadījumā, iznomātājam jāatlīdzina nomniekam visi zaudējumi, kādi viņam nodarīti ar līguma priekšlaicīgu izbeigšanu. Savukārt valstij jādod nomniekam piemērots laiks nomas priekšmeta atdošanai.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24-TA-134</w:t>
    </w:r>
    <w:r>
      <w:br/>
    </w:r>
    <w:r w:rsidR="00000000" w:rsidRPr="00000000" w:rsidDel="00000000">
      <w:rPr>
        <w:rtl w:val="0"/>
      </w:rPr>
      <w:t xml:space="preserve">Izdrukāts 07.02.2024. 18.54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24-TA-134</w:t>
    </w:r>
    <w:r>
      <w:br/>
    </w:r>
    <w:r w:rsidR="00000000" w:rsidRPr="00000000" w:rsidDel="00000000">
      <w:rPr>
        <w:rtl w:val="0"/>
      </w:rPr>
      <w:t xml:space="preserve">Izdrukāts 07.02.2024. 18.54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Atzinumi_24-TA-134.docx</dc:title>
</cp:coreProperties>
</file>

<file path=docProps/custom.xml><?xml version="1.0" encoding="utf-8"?>
<Properties xmlns="http://schemas.openxmlformats.org/officeDocument/2006/custom-properties" xmlns:vt="http://schemas.openxmlformats.org/officeDocument/2006/docPropsVTypes"/>
</file>