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23-TA-973: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4.1.2.5. pasākuma “Piesaistīt un noturēt ārstniecības personas darbam valsts apmaksāto veselības aprūpes pakalpojumu sektorā, īpaši stacionāros”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 vadlīniju Nr.1.4. “Vadlīnijas Ministru kabineta noteikumu par specifiskā atbalsta mērķa īstenošanu izstrādei Eiropas Savienības fondu 2021.-2027. gada plānošanas periodā” 7.punktu MK noteikumos norāda plānoto atbalsta veidu, piemēram, grantu atbalsts, finanšu instrumentu atbalsts, kombinēto finanšu instrumentu atbalsts. Ņemot vērā noteikumu projektā iekļautos nosacījumus un Regulas Nr.2021/1060 57.pantā minēto, pasākuma ietvaros plānotais atbalsts uzskatāms par grantu (dotāciju) ar nosacījumiem. Attiecīgi lūdzam noteikumu projekta I nodaļā iekļaut jaunu punktu, norādot pasākumā plānoto atbalsta veidu – grants (dotācija) ar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Bergmane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iznākuma rādītājs "Piesaistīto ārstniecības personu skaits, kuras saņēmušas atbalstu, lai veicinātu to piesaisti darbam veselības aprūpē" uz 2029. gada 31. decembri būs saņēmušas 458 ārstniecības personas, no kurām: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punktu, norādot rādītāja sasniedzamo vērtību līdz 2024.gada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Teivāne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Finansējuma saņēmējs atgūst šo noteikumu </w:t>
            </w:r>
            <w:r w:rsidR="00000000" w:rsidRPr="00000000" w:rsidDel="00000000">
              <w:rPr>
                <w:rtl w:val="0"/>
              </w:rPr>
              <w:t xml:space="preserve">16.</w:t>
            </w:r>
            <w:r w:rsidR="00000000" w:rsidRPr="00000000" w:rsidDel="00000000">
              <w:rPr>
                <w:rtl w:val="0"/>
              </w:rPr>
              <w:t xml:space="preserve"> punktā minēto kompensāciju proporcionāli nenostrādātajam laikam, ja kompensācijas saņēmējs neizpilda šo noteikumu </w:t>
            </w:r>
            <w:r w:rsidR="00000000" w:rsidRPr="00000000" w:rsidDel="00000000">
              <w:rPr>
                <w:rtl w:val="0"/>
              </w:rPr>
              <w:t xml:space="preserve">20.</w:t>
            </w:r>
            <w:r w:rsidR="00000000" w:rsidRPr="00000000" w:rsidDel="00000000">
              <w:rPr>
                <w:rtl w:val="0"/>
              </w:rPr>
              <w:t xml:space="preserve"> punktā minētos nosacījumus vai nenoslēdz šo noteikumu </w:t>
            </w:r>
            <w:r w:rsidR="00000000" w:rsidRPr="00000000" w:rsidDel="00000000">
              <w:rPr>
                <w:rtl w:val="0"/>
              </w:rPr>
              <w:t xml:space="preserve">21.</w:t>
            </w:r>
            <w:r w:rsidR="00000000" w:rsidRPr="00000000" w:rsidDel="00000000">
              <w:rPr>
                <w:rtl w:val="0"/>
              </w:rPr>
              <w:t xml:space="preserve"> punktā minēto kompensācijas līgumu, vai pirms termiņa lauž šo noteikumu </w:t>
            </w:r>
            <w:r w:rsidR="00000000" w:rsidRPr="00000000" w:rsidDel="00000000">
              <w:rPr>
                <w:rtl w:val="0"/>
              </w:rPr>
              <w:t xml:space="preserve">21.</w:t>
            </w:r>
            <w:r w:rsidR="00000000" w:rsidRPr="00000000" w:rsidDel="00000000">
              <w:rPr>
                <w:rtl w:val="0"/>
              </w:rPr>
              <w:t xml:space="preserve"> punktā minēto līgumu, vai darba attiecību pārtraukums vai laiks, kad netiek pildīti kompensācijas līguma nosacījumi, pārsniedz trīs mēnešus trīs gadu periodā un finansējuma saņēmējs nepagarina kompensācijas līguma darbības termiņu. Atgūto finansējumu var atkārtoti izmantot projekta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“vai nenoslēdz šo noteikumu 21. punktā minēto kompensācijas līgumu”, ņemot vērā, ka kompensāciju nevar izmaksāt, pirms nav noslēgts kompensācijas līgums un kompensācijas saņēmējs nav uzņēmies saistības par tajā ietverto nosacījumu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Bergmane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Šo noteikumu </w:t>
            </w:r>
            <w:r w:rsidR="00000000" w:rsidRPr="00000000" w:rsidDel="00000000">
              <w:rPr>
                <w:rtl w:val="0"/>
              </w:rPr>
              <w:t xml:space="preserve">20.</w:t>
            </w:r>
            <w:r w:rsidR="00000000" w:rsidRPr="00000000" w:rsidDel="00000000">
              <w:rPr>
                <w:rtl w:val="0"/>
              </w:rPr>
              <w:t xml:space="preserve"> punktā minētās vienreizējās kompensācijas gadījumos, kad atbalstāmajai iestādei ir noslēgts līgums ar NVD par valsts apmaksāto veselības aprūpes pakalpojumu sniegšanu saskaņā ar normatīvajiem aktiem veselības aprūpes pakalpojumu organizēšanas un samaksas kārtību, piešķiramas saskaņā ar šīs nodaļas nosacījumiem.</w:t>
            </w:r>
            <w:r w:rsidR="00000000" w:rsidRPr="00000000" w:rsidDel="00000000">
              <w:rPr>
                <w:rtl w:val="0"/>
              </w:rPr>
              <w:t xml:space="preserve">​</w:t>
            </w:r>
            <w:r w:rsidR="00000000" w:rsidRPr="00000000" w:rsidDel="00000000">
              <w:rPr>
                <w:rtl w:val="0"/>
              </w:rPr>
              <w:t xml:space="preserve"> Kompensācijas saņemšana neierobežo kompensācijas saņēmēja tiesības ārpus šo noteikumu </w:t>
            </w:r>
            <w:r w:rsidR="00000000" w:rsidRPr="00000000" w:rsidDel="00000000">
              <w:rPr>
                <w:rtl w:val="0"/>
              </w:rPr>
              <w:t xml:space="preserve">20.4.</w:t>
            </w:r>
            <w:r w:rsidR="00000000" w:rsidRPr="00000000" w:rsidDel="00000000">
              <w:rPr>
                <w:rtl w:val="0"/>
              </w:rPr>
              <w:t xml:space="preserve"> apakšpunktā minētajiem pienākumiem iesaistīties maksas veselības aprūpes pakalpojumu sniegšanā un citu saimniecisko darbību veikšanā.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kurā lūdzām noteikumos skaidri noteikt, kura iestāde piešķir komercdarbības atbalstu atbilstoši Komisijas lēmumam Nr.2012/21/ES.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projekta 12.punktam projekta iesniedzējs un finansējuma saņēmējs ir 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21.punktā ir noteikts, ka finansējuma saņēmējs (Veselības ministrija), kompensācijas saņēmējs un atbalstāmā iestāde slēdz trīspusēju līgumu par kompensācijas saņemšanu (kompensācijas līgums), izņemot gadījumus, kad tiek slēgts divpusējs līgums, ja kompensācijas saņēmējs ir arī atbalstāmā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noteikumu projekta VII.nodaļas “Valsts atbalsta piešķiršanas nosacījumi” izriet, ka pilnvarojuma uzlicējs ir Nacionālais veselības dienests (kaut arī tas nav skaidri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to vērā, atkārtoti lūdzam skaidri noteikt, kura iestāde piešķir komercdarbības atbalstu atbilstoši Komisijas lēmumam Nr.2012/21/ES.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Ritvars Timermanis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Šo noteikumu </w:t>
            </w:r>
            <w:r w:rsidR="00000000" w:rsidRPr="00000000" w:rsidDel="00000000">
              <w:rPr>
                <w:rtl w:val="0"/>
              </w:rPr>
              <w:t xml:space="preserve">20.</w:t>
            </w:r>
            <w:r w:rsidR="00000000" w:rsidRPr="00000000" w:rsidDel="00000000">
              <w:rPr>
                <w:rtl w:val="0"/>
              </w:rPr>
              <w:t xml:space="preserve"> punktā minētās vienreizējās kompensācijas gadījumos, kad atbalstāmajai iestādei ir noteikts deleģējums nodrošināt veselības aprūpes pakalpojumus valsts deleģētās funkcijas īstenošanai, nav uzskatāms par valsts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MK noteikumu projekta 20.3. apakšpunktā noteikto, ka atbalstāmajai iestādei ir noslēgts līgums ar Nacionālo veselības dienestu par valsts apmaksāto veselības aprūpes pakalpojumu sniegšanu, nav skaidrs kādēļ MK noteikumu projekta 52.punktā minēts, ka tas nav uzskatāms par komercdarbības atbalstu. Vēršam uzmanību, ka publiskais finansējums valsts apmaksāto veselības aprūpes pakalpojumu sniegšanai tiek nodrošināts, ievērojot Komisijas lēmumu par Līguma par Eiropas Savienības darbību 106.panta 2.punkta piemērošanu valsts atbalstam attiecībā uz kompensāciju par sabiedriskajiem pakalpojumiem dažiem uzņēmumiem, kuriem uzticēts sniegt pakalpojumus ar vispārēju tautsaimniecisku nozīmi (2012/21/ES). Kā arī vēršam uzmanību, ka šajā gadījumā atbalsta saņēmējs ir ārstniecības iestāde, jo piesaista resursu (iegūst darbinieku) valsts apmaksāto veselības aprūpes pakalpojumu nodrošināšanai. Attiecīgi lūdzam precizēt MK noteikumu projektu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Vītoliņš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MK noteikumu projekta 53.punktā norādīto, lūdzam anotācijas 1.3. sadaļā precizēt skaidrojumu, kāpēc šo noteikumu 18. punktā minētā vienreizējā kompensācijas izmaksa nav uzskatāma par komercdarbības atbalstu. Pieļaujam, ka, ņemot vērā, ka ģimenes ārsts, kurš nodod praksi, nodrošinot apmācības ģimenes ārsta prakses efektīvai pārņemšanai jaunajam ģimenes ārstam pēc atbalsta saņemšanas, pārstāj būt saimnieciskās darbības veicējs attiecīgajā nozarē (iziet no tirgus), vairs nevar ietekmēt konkurenci un tam vairs nav piemērojami komercdarbības atbalsta nosacījumi, lūdzam atbilstoši papildināt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Vītoliņš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kā vienas vienības izmaksu metodikas izstrādātāju norādīt Atbildīgo iestādi, nevis sadarbības iestādi.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Izmaksu pasākumi iekļauj vienreizējās kompensācijas ārstniecības personām izmaksas, kuras tiek noteiktas pamatojoties uz Regulas Nr. 2021/1060 53. panta 1. punkta b) apakšpunktu un uz Atbildīgās iestādes, t.i. Veselības ministrijas, izstrādātajām vienas vienības izmaksām un ir attiecināmas šādām ārstniecības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Bergmane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ka pasākumam nav ietekmes uz horizontālajiem principiem “Klimatdrošināšana”, “Energoefektivitāte pirmajā vietā” un “Nenodarīt būtisku kaitējumu”.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Bergmane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mērķa plānotais un pieejamais kopējais finansējums ir 6 690 300 </w:t>
            </w:r>
            <w:r w:rsidR="00000000" w:rsidRPr="00000000" w:rsidDel="00000000">
              <w:rPr>
                <w:i w:val="1"/>
                <w:rtl w:val="0"/>
              </w:rPr>
              <w:t xml:space="preserve">euro</w:t>
            </w:r>
            <w:r w:rsidR="00000000" w:rsidRPr="00000000" w:rsidDel="00000000">
              <w:rPr>
                <w:rtl w:val="0"/>
              </w:rPr>
              <w:t xml:space="preserve">, tai skaitā Eiropas Sociālā fonda Plus finansējums 5 686 755 </w:t>
            </w:r>
            <w:r w:rsidR="00000000" w:rsidRPr="00000000" w:rsidDel="00000000">
              <w:rPr>
                <w:i w:val="1"/>
                <w:rtl w:val="0"/>
              </w:rPr>
              <w:t xml:space="preserve">euro</w:t>
            </w:r>
            <w:r w:rsidR="00000000" w:rsidRPr="00000000" w:rsidDel="00000000">
              <w:rPr>
                <w:rtl w:val="0"/>
              </w:rPr>
              <w:t xml:space="preserve"> un valsts budžeta līdzfinansējums 1 003 545</w:t>
            </w:r>
            <w:r w:rsidR="00000000" w:rsidRPr="00000000" w:rsidDel="00000000">
              <w:rPr>
                <w:i w:val="1"/>
                <w:rtl w:val="0"/>
              </w:rPr>
              <w:t xml:space="preserve"> 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dzēšot vārdu "mērķa".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Teivāne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w:t>
            </w:r>
            <w:r w:rsidR="00000000" w:rsidRPr="00000000" w:rsidDel="00000000">
              <w:rPr>
                <w:rtl w:val="0"/>
              </w:rPr>
              <w:t xml:space="preserve">14.2.</w:t>
            </w:r>
            <w:r w:rsidR="00000000" w:rsidRPr="00000000" w:rsidDel="00000000">
              <w:rPr>
                <w:rtl w:val="0"/>
              </w:rPr>
              <w:t xml:space="preserve"> apakšpunktā minētās atbalstāmās darbības ietvaros ir attiecināmās vienreizējās kompensācijas ārstniecības personām izmaksas par ārstniecības personu piesaistes pasākumiem, kuri ir vērsti uz valsts apmaksāto veselības aprūpes pakalpojumu pieejamības uzlabošanu un tiek īstenoti visā Latvijas teritorijā, kur ir konstatēts ārstniecības personāla trūkums un iekļauj vienreizējās kompensācijas ārstniecības personām izmaksas, kuras tiek noteiktas pamatojoties uz  </w:t>
            </w:r>
            <w:r w:rsidR="00000000" w:rsidRPr="00000000" w:rsidDel="00000000">
              <w:rPr>
                <w:rtl w:val="0"/>
              </w:rPr>
              <w:t xml:space="preserve">Regulas Nr. 2021/1060</w:t>
            </w:r>
            <w:r w:rsidR="00000000" w:rsidRPr="00000000" w:rsidDel="00000000">
              <w:rPr>
                <w:rtl w:val="0"/>
              </w:rPr>
              <w:t xml:space="preserve"> 53. panta 1. punkta b) apakšpunktu un uz atbildīgās iestādes izstrādāto vienkāršoto izmaksu metodiku un ir attiecināmas šādām ārstniecības personām: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16.punkta teksta formulējumu, svītrojot informāciju, kas dublējas, proti, teksts "vienreizējās kompensācijas ārstniecības personām” teikumā minēts divas reizes.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14.2. apakšpunktā minētās atbalstāmās darbības ietvaros ir attiecināmas izmaksas par ārstniecības personu piesaistes pasākumiem, kuri ir vērsti uz valsts apmaksāto veselības aprūpes pakalpojumu pieejamības uzlabošanu un tiek īstenoti visā Latvijas teritorijā, kur ir konstatēts ārstniecības personāla trūkums un iekļauj vienreizējās kompensācijas ārstniecības personām izmaksas, kuras tiek noteiktas pamatojoties uz  Regulas Nr. 2021/1060 53. panta 1. punkta b) apakšpunktu un uz atbildīgās iestādes izstrādāto vienkāršoto izmaksu metodiku un ir attiecināmas šādām ārstniecības personām: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Inguna Arāja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Šo noteikumu </w:t>
            </w:r>
            <w:r w:rsidR="00000000" w:rsidRPr="00000000" w:rsidDel="00000000">
              <w:rPr>
                <w:rtl w:val="0"/>
              </w:rPr>
              <w:t xml:space="preserve">14.3.</w:t>
            </w:r>
            <w:r w:rsidR="00000000" w:rsidRPr="00000000" w:rsidDel="00000000">
              <w:rPr>
                <w:rtl w:val="0"/>
              </w:rPr>
              <w:t xml:space="preserve"> apakšpunktā minētā atbalstāmā darbība ietver vienreizēju kompensāciju ģimenes ārstam, kurš nodod savu ģimenes ārsta praksi, par specifisko zināšanu, informācijas un pieredzes nodošanu ģimenes ārstam, kurš pārņem praksi, ne mazāk kā 3 mēnešu periodam un kura tiek noteikta pamatojoties uz </w:t>
            </w:r>
            <w:r w:rsidR="00000000" w:rsidRPr="00000000" w:rsidDel="00000000">
              <w:rPr>
                <w:rtl w:val="0"/>
              </w:rPr>
              <w:t xml:space="preserve">Regulas Nr. 2021/1060</w:t>
            </w:r>
            <w:r w:rsidR="00000000" w:rsidRPr="00000000" w:rsidDel="00000000">
              <w:rPr>
                <w:rtl w:val="0"/>
              </w:rPr>
              <w:t xml:space="preserve"> 53. panta 1. punkta b) apakšpunktu un uz atbildīgās iestādes izstrādātajām vienas vienības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pēc līdzības ar MK noteikumu projekta 16.punktu aizstāt "izstrādātajām vienas vienības izmaksām" ar "izstrādāto uz vienkāršoto izmaksu metodiku".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Trizna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kompensācijas pretendents ne agrāk kā 12 mēnešus pirms kompensācijas pieteikuma iesniegšanas brīža nav strādājis ārstniecības iestādē valsts apmaksāto veselības aprūpes pakalpojumu sniegšanā Latvijā (turpmāk – atbalstāmā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izziņā sniegto skaidrojumu, lūdzam papildināt anotāciju ar skaidrojumu, kādām prasībām jāatbilst atbalstāmajai iestādei.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anotācijas 1.3. sadaļā "Pašreizējā situācija, problēmas un risinājumi " 4.1.2.5.pasākuma finansējuma sadalījumu pa intervences kodiem latviešu valodā, atbilstoši Eiropas Savienības kohēzijas politikas programmas 2021. – 2027. gadam papildinājumā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4.1.2.5. pasākuma ESF Plus investīcijām piemērots 160. intervences kods “Pasākumi veselības aprūpes sistēmas pieejamības, efektivitātes un noturības uzlabošanai (izņemot infrastruktūru)” atbilstoši Eiropas Savienības kohēzijas politikas programmai 2021.–2027. gadam. Fondu finansējums 5 686 755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aizpildīt anotācijas 3.sadaļas 5.1.apakšpunktu.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23-TA-973</w:t>
    </w:r>
    <w:r>
      <w:br/>
    </w:r>
    <w:r w:rsidR="00000000" w:rsidRPr="00000000" w:rsidDel="00000000">
      <w:rPr>
        <w:rtl w:val="0"/>
      </w:rPr>
      <w:t xml:space="preserve">Izdrukāts 26.06.2023. 15.14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23-TA-973</w:t>
    </w:r>
    <w:r>
      <w:br/>
    </w:r>
    <w:r w:rsidR="00000000" w:rsidRPr="00000000" w:rsidDel="00000000">
      <w:rPr>
        <w:rtl w:val="0"/>
      </w:rPr>
      <w:t xml:space="preserve">Izdrukāts 26.06.2023. 15.14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Atzinumi_23-TA-973.docx</dc:title>
</cp:coreProperties>
</file>

<file path=docProps/custom.xml><?xml version="1.0" encoding="utf-8"?>
<Properties xmlns="http://schemas.openxmlformats.org/officeDocument/2006/custom-properties" xmlns:vt="http://schemas.openxmlformats.org/officeDocument/2006/docPropsVTypes"/>
</file>