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Mājokļu pieejamības pamatnostādņu 2023. – 2027. gadam īstenošanas plāns 2024.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izziņas 24. iebildumā teikto, kur kā atbildīgo institūciju 2.2.1.uzdevuma izpildē lūdzām noteikt Labklājības ministriju, Finanšu ministriju kā līdzatbildīgo, kā arī iekļaut Latvijas Banku kā līdzatbildīgo uzdevuma izpildē, atbilstoši izteiktajam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Izziņas 24.puktā izteikto iebildumu un uzskatām, ka, lai  virzītu būtiskas izmaiņas normatīvajos aktos, un sadalīt alternatīvo ieguldījumu fondu ieguldījumu limitus taisnīgi pa riska grupām, kā arī nodrošinātu to, ka pensiju fondu līdzekļu pārvaldītājs  rīkojas kā gādīgs un rūpīgs saimnieks vienīgi ieguldījumu plāna dalībnieku interesēs,  vispirms jāveic izvērtējums nepieciešamībai veikt normatīvo aktu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Finanšu ministrijai norādīto finansējuma sadalījumu starp piešķirto un papildus nepieciešamo, jo saskaņā ar CFLA datiem sadalījums neatbilst pielikumā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CFLA datiem 2024.gadā piešķirts finansējums 406 192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budžeta likumprojektu 2025-2027 pieprasīti: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- 2025.gadam 3 944 856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- 2026.gadam 4 202 363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- 2027.gadam 1 215 000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ņemot vērā pielikumā norādītās summas un CFLA sniegto informāciju, starpības jānorāda kā papildus nepieciešamais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Dzene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2.4.2. uzdevuma darbības rezultāta “Izstrādāti finanšu ekonomiskie aprēķini” atbildīgo institūciju atbilstoši Ministru kabineta 2024. gada 11. jūnijā sēdē (prot.Nr. 24 65. § 4.punkts) nolemtajam un kā atbildīgo institūciju noradīt valsts akciju sabiedrību "Valsts nekustamie īpašumi".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Reders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2.sadaļā “Rīcības virziens: Atbalsts mājsaimniecībām ar vidējiem ienākumiem” ir norādīts, ka ņemot vērā valsts budžeta iespējas un Ministru kabineta nospraustās budžeta prioritātes 2025. gadam, Ekonomikas ministrija plāno ikgadēji valsts budžeta prioritāro pasākumu ietvaros pieprasīt papildus finansējumu programmas nepārtrauktai īstenošanai no 2026. gada. Ņemot vērā minēto, lūdzam skaidrot, uz kuru rīcības virziena uzdevumu tas ir attiecināms un kāds ir nepieciešamā finansējuma apmērs, attiecīgi to norādot arī plāna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4.sadaļā “Rīcības virziens: Atbalsts esošā dzīvojamā fonda uzlabošanai” ir norādīts, ka, lai sniegtu atbalstu 500 maznodrošinātām vai trūcīgām personām, gadā būtu nepieciešami aptuveni 462 000 euro no valsts budžeta līdzekļiem. Norādām, ka finansējums minētajā apmērā nav atspoguļots plāna pielikumā, līdz ar to nav saprotams, kura rīcības virziena uzdevuma izpildei tas ir nepieciešams un kāds ir izdevumu finansēšanas avots.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pielikumu, ailē “Budžeta programmas (apakšprogrammas) kods un nosaukums” norādot konkrēto ministrijas budžeta programmu/apakšprogrammu, kurā būs ieplānots norādītais finansējums. Vienlaikus atkārtoti norādām, ka 80.00.00 programma “Nesadalītais finansējums Eiropas Savienības politiku instrumentu un pārējās ārvalstu finanšu palīdzības līdzfinansēto projektu un pasākumu īstenošanai” ir budžeta resora "74. Gadskārtējā valsts budžeta izpildes procesā pārdalāmais finansējums" nevis Ekonomikas ministrijas vai Finanšu ministrijas budžeta programma, attiecīgi lūdzam to svītrot. Turklāt vēršam uzmanību, ka pie 2.1. un  4.6.uzdevuma ir norādīts “Ekonomikas ministrijas budžets” un vienlaikus minēts, ka nepieciešamo finansējumu lūgs pārdalīt Finanšu ministrija, attiecīgi lūdzam novērst minēto pretrunu.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Atbildīgajām un līdzatbildīgajām institūcijām plānā iekļautos uzdevumus 2024. un 2025. gadā īstenot piešķirto valsts budžeta līdzekļu ietvaros. Jautājumu par papildu valsts budžeta līdzekļu piešķiršanu plāna īstenošanai 2026. gadam un turpmākajiem gadiem skatīt Ministru kabinetā likumprojekta “Par valsts budžetu 2026. gadam un budžeta ietvaru 2026., 2027. un 2028. gadam” sagatavošanas procesā kopā ar visu ministriju un centrālo valsts iestāžu iesniegtajiem prioritāro pasākumu pieteikumiem, ievērojot valsts budžeta finansiālās iespējas. Ja valsts budžeta likumprojekta sagatavošanas procesā papildu valsts budžeta līdzekļi plānā paredzēto pasākumu īstenošanai netiek piešķirti vai tiek piešķirti daļēji, tad attiecīgajām par plāna pasākumu ieviešanu atbildīgajām valsts institūcijām nodrošināt, ka tiek īstenoti tie plānā paredzētie pasākumi, kurus var nodrošināt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potenciālo pāreju no trīs uz četru gadu garu vidēja termiņa budžeta ietvaru, aicinām 3. punkta otro teikumu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papildu valsts budžeta līdzekļu piešķiršanu plāna īstenošanai 2026. gadam un turpmākajiem gadiem skatīt Ministru kabinetā likumprojekta par valsts budžetu kārtējam gadam un vidēja termiņa budžeta ietvaru sagatavošanas procesā kopā ar visu ministriju un centrālo valsts iestāžu iesniegtajiem prioritāro pasākumu pieteikumiem, ievērojot valsts budžeta finansiālās iespējas.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projekta 2.1.3.uzdevumu lūdzam aizstāt vārdus “tiek piesaistīts” ar vārdiem “tiks izskatīta iespēja piesaistīt”. Vēršam uzmanību, ka Eiropas Savienības kohēzijas politikas programmas 2021.-2027.gadam un Atveseļošanas un noturības mehānisma plāna ietvaros viss plānotais finansējums ir sadalīts starp pasākumiem un investīcijām, un šobrīd nav pieejami brīvi līdzekļi, kas varētu tikt novirzīti mājokļu programmas atbalstam.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projektā aizstāt vārdus 'Darbības programma" ar vārdiem "Eiropas Savienības kohēzijas politikas programma 2021.–2027.gadam", ņemot vēra, ka apzīmējums Darbības programma attiecas uz Eiropas Savienības fondu 2014.-2020.gada plānošanas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11. jūnijā sēdēs protokollēmuma Nr. 24 65. § 4.punktam, “[..]</w:t>
            </w:r>
            <w:r w:rsidR="00000000" w:rsidRPr="00000000" w:rsidDel="00000000">
              <w:rPr>
                <w:i w:val="1"/>
                <w:rtl w:val="0"/>
              </w:rPr>
              <w:t xml:space="preserve">4. Uzdot valsts akciju sabiedrībai “Valsts nekustamie īpašumi” nodrošināt Projekta finanšu un ekonomisko aprēķinu izstrādi [..]</w:t>
            </w:r>
            <w:r w:rsidR="00000000" w:rsidRPr="00000000" w:rsidDel="00000000">
              <w:rPr>
                <w:rtl w:val="0"/>
              </w:rPr>
              <w:t xml:space="preserve">”, valsts akciju sabiedrībai “Valsts nekustamie īpašumi” ir uzdots izstrādāt finanšu ekonomiskos aprēķinus, līdz ar to aicinām precizēt 2.4.2. uzdevuma darbības rezultāta “</w:t>
            </w:r>
            <w:r w:rsidR="00000000" w:rsidRPr="00000000" w:rsidDel="00000000">
              <w:rPr>
                <w:i w:val="1"/>
                <w:rtl w:val="0"/>
              </w:rPr>
              <w:t xml:space="preserve">Izstrādāti finanšu ekonomiskie aprēķini</w:t>
            </w:r>
            <w:r w:rsidR="00000000" w:rsidRPr="00000000" w:rsidDel="00000000">
              <w:rPr>
                <w:rtl w:val="0"/>
              </w:rPr>
              <w:t xml:space="preserve">” atbildīgo institūciju, norādot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Stajevska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24-TA-1199</w:t>
    </w:r>
    <w:r>
      <w:br/>
    </w:r>
    <w:r w:rsidR="00000000" w:rsidRPr="00000000" w:rsidDel="00000000">
      <w:rPr>
        <w:rtl w:val="0"/>
      </w:rPr>
      <w:t xml:space="preserve">Izdrukāts 19.09.2024.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24-TA-1199</w:t>
    </w:r>
    <w:r>
      <w:br/>
    </w:r>
    <w:r w:rsidR="00000000" w:rsidRPr="00000000" w:rsidDel="00000000">
      <w:rPr>
        <w:rtl w:val="0"/>
      </w:rPr>
      <w:t xml:space="preserve">Izdrukāts 19.09.2024.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Atzinumi_24-TA-1199.docx</dc:title>
</cp:coreProperties>
</file>

<file path=docProps/custom.xml><?xml version="1.0" encoding="utf-8"?>
<Properties xmlns="http://schemas.openxmlformats.org/officeDocument/2006/custom-properties" xmlns:vt="http://schemas.openxmlformats.org/officeDocument/2006/docPropsVTypes"/>
</file>