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Dzīvnieku aizsardzības likuma 5. panta otrās daļas 3. punktā noteikto, dzīvnieka īpašnieka pienākums ir nodrošināt, lai dzīvnieks netraucētu un neapdraudētu cilvēkus vai citus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Tiesībsarga biroja 2025. gada 1. augusta atzinumā pārbaudes lietā Nr. 2024-71-22F norādīto, izvērtējot spēkā esošo normatīvo regulējumu, tā pieņemšanas procesu un realizāciju praksē, ņemot vērā pašvaldību viedokli un statistiku, kad dzīvnieka radīts traucējums nav saistīts ar labturības noteikumu pārkāpumu, secināts, ka šobrīd spēkā esošais normatīvais regulējums nav pietiekami efektīvs, lai samērīgi aizsargātu apkārtējo cilvēku tiesības uz labvēlīgu vidi no dzīvnieka radītiem trokšņiem. Atzinumā uzsvērts, ka valstij ir pozitīvs pienākums rūpēties, lai tiktu izstrādāts tāds tiesisks regulējums, kas var pasargāt iedzīvotāju tiesības uz labvēlīgu vidi un veselību dzīvnieku radīto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likuma “Par piesārņojumu” 1. panta pirmās daļas 12.</w:t>
            </w:r>
            <w:r w:rsidR="00000000" w:rsidRPr="00000000" w:rsidDel="00000000">
              <w:rPr>
                <w:vertAlign w:val="superscript"/>
                <w:rtl w:val="0"/>
              </w:rPr>
              <w:t xml:space="preserve">1</w:t>
            </w:r>
            <w:r w:rsidR="00000000" w:rsidRPr="00000000" w:rsidDel="00000000">
              <w:rPr>
                <w:rtl w:val="0"/>
              </w:rPr>
              <w:t xml:space="preserve"> punktā noteikto, jau šobrīd definīcijā par  troksni (troksnis - ir gaisa vidē nevēlamas, traucējošas visu veidu skaņas, kas rada diskomfortu, ietekmē dzirdi un traucē akustisko saziņu) ir minētas visu veidu skaņas, kas rada diskomfortu, tātad, tai skaitā dzīvnieku radītās skaņas jeb troksni.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sniegtos apsvērumus, kā arī to, ka pašvaldība primāri risina un nodrošina iedzīvotāju tiesības uz mieru, novēršot dzīvnieku radītos trokšņa piesārņojumu, lūdzu papildināt likumprojekta “Grozījumi likumā “Par piesārņojumu”” 18.</w:t>
            </w:r>
            <w:r w:rsidR="00000000" w:rsidRPr="00000000" w:rsidDel="00000000">
              <w:rPr>
                <w:vertAlign w:val="superscript"/>
                <w:rtl w:val="0"/>
              </w:rPr>
              <w:t xml:space="preserve">1</w:t>
            </w:r>
            <w:r w:rsidR="00000000" w:rsidRPr="00000000" w:rsidDel="00000000">
              <w:rPr>
                <w:rtl w:val="0"/>
              </w:rPr>
              <w:t xml:space="preserve"> panta piekto daļu, kā arī minētā panta piektās daļas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18.</w:t>
            </w:r>
            <w:r w:rsidR="00000000" w:rsidRPr="00000000" w:rsidDel="00000000">
              <w:rPr>
                <w:vertAlign w:val="superscript"/>
                <w:rtl w:val="0"/>
              </w:rPr>
              <w:t xml:space="preserve">1</w:t>
            </w:r>
            <w:r w:rsidR="00000000" w:rsidRPr="00000000" w:rsidDel="00000000">
              <w:rPr>
                <w:rtl w:val="0"/>
              </w:rPr>
              <w:t xml:space="preserve"> panta piekto daļu pēc vārdiem “izklaides darbību rezultātā” ar vārdiem “kā arī aizsardzību pret troksni, ko rada dzīvnieki”. 2) Papildināt 18.</w:t>
            </w:r>
            <w:r w:rsidR="00000000" w:rsidRPr="00000000" w:rsidDel="00000000">
              <w:rPr>
                <w:vertAlign w:val="superscript"/>
                <w:rtl w:val="0"/>
              </w:rPr>
              <w:t xml:space="preserve">1</w:t>
            </w:r>
            <w:r w:rsidR="00000000" w:rsidRPr="00000000" w:rsidDel="00000000">
              <w:rPr>
                <w:rtl w:val="0"/>
              </w:rPr>
              <w:t xml:space="preserve"> panta piektās daļas 2. punktu pēc vārdiem “iekārtu izmantošanai” ar vārdiem "dzīvnieku radītā trokšņa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Stenders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grozījumi neparedz kopumā pārņemt Direktīvas 2024/1785 39) punktu, proti "VIA nodaļa - Īpaši noteikumi attiecībā uz mājputnu un cūku audzēšanu", lai gan anotācijas </w:t>
            </w:r>
            <w:r w:rsidR="00000000" w:rsidRPr="00000000" w:rsidDel="00000000">
              <w:rPr>
                <w:rtl w:val="0"/>
              </w:rPr>
              <w:t xml:space="preserve">1.1. Apraksts un 1.2. Mērķis sadaļās ir norādīts, ka likumprojekts izstrādāts, lai pārņemtu Eiropas parlamenta un Padomes 2024. gada 24. aprīļa direktīvas (ES) 2024/1785 ar ko groza Eiropas Parlamenta un Padomes Direktīvu 2010/75/ES par rūpnieciskajām emisijām (piesārņojuma integrēta novēršana un kontrole) un Padomes Direktīvu 1999/31/EK par atkritumu poligoniem noteiktās prasības</w:t>
            </w:r>
            <w:r w:rsidR="00000000" w:rsidRPr="00000000" w:rsidDel="00000000">
              <w:rPr>
                <w:rtl w:val="0"/>
              </w:rPr>
              <w:t xml:space="preserve">. Lūdzam izvērtēt un ietvert likumprojektā Direktīvas 2024/1785 39) punkta VIA nodaļas atbilstošos pantus, lai nodrošinātu skaidru un nepārprotamu prasību pārņemšanu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 punktu ar definīciju "ekspluatācijas noteikumi" atbilstoši direktīvas 2024/1785 12.a) punktam. Jo likumprojekta  41. panta 109. punkta pašreizējā redakcijā lietotajam "Eiropas Savienības ekspluatācijas noteikumi" terminam nav skaidrojuma. Vienlaikus lūdzam izvērtēt un nepieciešamības gadījumā papildināt visā likumprojektā attiecīgos pantus un punktus ar vārdiem "ekspluatācijas noteikumi', jo īpaši attiecībā uz pantiem un punktiem par piesārņojošas darbības A kategorijas atļauju izsniegšanu un C kategorijas reģistrēšanu mājputnu un cūku audzēšanas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nepārprotamu likumprojektā lietotā termina piemērošanu, lūdzam likumprojekta 1. punktu papildināt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noteikumi - ir noteikumi, kuri ietverti atļaujās vai vispārīgajos saistošajos noteikumos attiecībā uz Ia pielikumā minēto darbību veikšanu un kuros norādītas emisiju robežvērtības, vides snieguma robežvērtības, saistītās monitoringa prasības un attiecīgā gadījumā prakse, kā veicama izkliedēšana uz zemes, piesārņojuma novēršanas un mazināšanas prakse, barības vielu apsaimniekošana, barības sagatavošana, izmitināšana, kūtsmēslu apsaimniekošana, tostarp savākšana, uzglabāšana, pārstrāde, kūtsmēslu izkliedēšana uz zemes, un mirušu dzīvnieku uzglabāšana, un kuri atbilst labāko pieejamo tehnisko paņēmienu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13</w:t>
            </w:r>
            <w:r w:rsidR="00000000" w:rsidRPr="00000000" w:rsidDel="00000000">
              <w:rPr>
                <w:b w:val="1"/>
                <w:rtl w:val="0"/>
              </w:rPr>
              <w:t xml:space="preserve"> pants. Apkures iekārtu radītā gaisa piesārņojuma ierobežošana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nav pietiekami skaidri norādīts, kādam objektīvam pamatojumam jāpastāv, lai pašvaldība varētu lemt par aizliegumu vai ierobežojumu piemērošanu. Salīdzinājumam, likumprojekta 11.¹⁴ panta ceturtā daļa paredz, ka transporta radītā gaisa piesārņojuma samazināšanai noteiktie ierobežojumi ir jāpamato pašvaldības ilgtermiņa gaisa kvalitātes plānā. Tāpat likuma 14. panta otrā daļa paredz, ka ierobežojumi vai aizliegumi piesārņojošām darbībām tiek noteikti gadījumos, kad noteiktā teritorijā ir pārsniegti vai var tikt pārsniegti vides kvalitātes normatīvu robežlielumi un šādi ierobežojumi tiek balstīti attiecīgā plānošanas dokumentā. Savukārt 11.¹³ pants neparedz līdzvērtīgus nosacījumus un neietver skaidru sasaisti ar gaisa kvalitātes novērtējuma rezultātiem vai plānošanas dokumentiem. Zemkopības ministrija uzskata, ka ierobežojumu noteikšanai nepieciešams: konstatēts gaisa kvalitātes normatīva vai piesardzības sliekšņa pārsniegums, gaisa kvalitātes modelēšanas rezultāti, pašvaldības ilgtermiņa gaisa kvalitātes plānā konstatētas problēmas vai cits objektīvs pamatojums. Tāpat nav noteikta kārtība, kādā izvērtējams individuālās apkures ieguldījums konkrētajā gaisa piesārņojumā, alternatīvu siltumapgādes risinājumu pieejamība un plānoto ierobežojumu samērīgums. Ņemot vērā minēto, uzskatām, ka 11.¹³ pantā paredzētais regulējums būtu precizējams, nosakot skaidrus un pārbaudāmus kritērijus, kādos gadījumos pašvaldība ir tiesīga noteikt šajā pantā paredzētos ierobežojumus, vai paredzot deleģējumu Ministru kabinetam noteikt kritērijus un metodiku, pēc kuriem pašvaldība izvērtē nepieciešamību noteikt attiecīgos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Šajā pantā minēto saistošos noteikumu prasības, kas attiecas uz esošajām apkures iekārtām stājas spēkā ne agrāk kā vienu gadu pēc saistošo noteikumu publicēšanas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pamatots tas, kāpēc attiecībā uz esošajām apkures iekārtām saistošo noteikumu prasības stājas spēkā ne agrāk kā vienu gadu pēc to publicēšanas. Anotācijā termiņa izvēle pamatota vienīgi ar norādi, ka regulējums var skart privātpersonas un mazos uzņēmumus, tomēr nav vērtēts, vai viena gada periods ir objektīvi pietiekams prasību izpildei. Anotācijā kā iespējamās alternatīvas minēti siltumsūkņi, elektroenerģija, saules enerģijas risinājumi un centralizētā siltumapgāde, taču nav analizēts laiks, kas nepieciešams šo risinājumu ieviešanai praksē. Daudzos gadījumos apkures sistēmas nomaiņa ir saistīta ar jaunu elektroapgādes pieslēgumu izbūvi vai esošo jaudu palielināšanu, projektēšanu, būvdarbiem un citu infrastruktūras risinājumu īstenošanu, kuru realizācija var pārsniegt vienu gadu. Apsverama 11.</w:t>
            </w:r>
            <w:r w:rsidR="00000000" w:rsidRPr="00000000" w:rsidDel="00000000">
              <w:rPr>
                <w:vertAlign w:val="superscript"/>
                <w:rtl w:val="0"/>
              </w:rPr>
              <w:t xml:space="preserve">13</w:t>
            </w:r>
            <w:r w:rsidR="00000000" w:rsidRPr="00000000" w:rsidDel="00000000">
              <w:rPr>
                <w:rtl w:val="0"/>
              </w:rPr>
              <w:t xml:space="preserve"> panta ceturtās daļas precizēšana, nosakot, ka prasības attiecībā uz esošajām apkures iekārtām stājas spēkā ne agrāk kā divus gadus pēc saistošo noteikumu publicēšanas.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(3) Teritorijās, kur tiek pārsniegti gaisa kvalitātes normatīvi vai kur pastāv risks tos pārsniegt, kā arī, kur jaunu objektu būvniecība var radīt smaku normatīva pārsniegumus, pašvaldība, izstrādājot teritorijas plānojumu: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8. panta 11.</w:t>
            </w:r>
            <w:r w:rsidR="00000000" w:rsidRPr="00000000" w:rsidDel="00000000">
              <w:rPr>
                <w:vertAlign w:val="superscript"/>
                <w:rtl w:val="0"/>
              </w:rPr>
              <w:t xml:space="preserve">15</w:t>
            </w:r>
            <w:r w:rsidR="00000000" w:rsidRPr="00000000" w:rsidDel="00000000">
              <w:rPr>
                <w:rtl w:val="0"/>
              </w:rPr>
              <w:t xml:space="preserve"> panta trešo daļu, nosakot objektīvu un vienotu kārtību kā teritorijas plānojuma izstrādes laikā konstatējams, ka jauna objekta būvniecība var radīt smaku normatīva pārsniegumu. Īpaši tas attiecināms uz objektiem, kuri ir tikai plānoti, bet vēl nav zināmi tā tehnoloģiskie risinājumi, dzīvnieku skaits, ventilācijas risinājumi un citi emisiju raksturojošie parametri.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"(1</w:t>
            </w:r>
            <w:r w:rsidR="00000000" w:rsidRPr="00000000" w:rsidDel="00000000">
              <w:rPr>
                <w:vertAlign w:val="superscript"/>
                <w:rtl w:val="0"/>
              </w:rPr>
              <w:t xml:space="preserve">1</w:t>
            </w:r>
            <w:r w:rsidR="00000000" w:rsidRPr="00000000" w:rsidDel="00000000">
              <w:rPr>
                <w:rtl w:val="0"/>
              </w:rPr>
              <w:t xml:space="preserve">) Valsts vides dienests var reģistrēt dzīvnieku novietni kā C kategorijas piesārņojošo darbību bez iesnieguma saņemšanas no operatora, ja dzīvnieku skaits novietnē pamatojoties uz Lauku atbalsta dienesta informācijas sistēmas dzīvnieku reģistra datiem, sasniedz C kategorijas piesārņojošai darbībai noteikto slieksni. Ja nepieciešams, Dienests pirms reģistrācijas veikšanas pieprasa operatoram papildu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1.</w:t>
            </w:r>
            <w:r w:rsidR="00000000" w:rsidRPr="00000000" w:rsidDel="00000000">
              <w:rPr>
                <w:vertAlign w:val="superscript"/>
                <w:rtl w:val="0"/>
              </w:rPr>
              <w:t xml:space="preserve">1 </w:t>
            </w:r>
            <w:r w:rsidR="00000000" w:rsidRPr="00000000" w:rsidDel="00000000">
              <w:rPr>
                <w:rtl w:val="0"/>
              </w:rPr>
              <w:t xml:space="preserve">punkta otrā teikumā pilnu iestādes nosaukumu vārda "Dienests" vietā. No patreizējās redakcijas nav saprotams kurš "Dienests" ir domāts, jo šajā pantā ir minēts gan Valsts vides dienests, gan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likumprojekta 24. panta (1) daļu - operatoram ir jāsniedz iesniegums, bet saskaņā ar šo punktu tas nav jāsniedz. Lai nodrošinātu skaidru normas izpratni, lūdzam izvērtēt un precizēt 24. panta (1) daļu, lai operatoram ir skaidrs kuros gadījumos un kad ir jāsniedz vai nav jāsniedz iesniegums C kategorijas reģistrēšanai attiecībā uz piesārņojošas darbības reģistrāciju dzīvnieku novietnēm.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41. panta - Pārejas noteikumi 109. un 110. punktā svītrot vārdus "lauksaimniecības dzīvnieku", jo Direktīvas 2024/1785 prasības attiecas tikai uz cūku un mājputnu audzēšanas iekārtām. </w:t>
            </w:r>
            <w:r w:rsidR="00000000" w:rsidRPr="00000000" w:rsidDel="00000000">
              <w:rPr>
                <w:rtl w:val="0"/>
              </w:rPr>
              <w:t xml:space="preserve">Piedāvājam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 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cūku un mājputnu audzēšanas iekārtām piemēro pakāpeniski, atkarībā no Eiropas Komisijas ekspluatācijas noteikumu cūku un mājputnu audzēšanai spēkā stāšanās šādos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cūku un mājputnu audzēšanas iekārtām piemēro šā likuma prasības redakcijā, kas bija spēkā līdz grozījumu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pants. "6</w:t>
            </w:r>
            <w:r w:rsidR="00000000" w:rsidRPr="00000000" w:rsidDel="00000000">
              <w:rPr>
                <w:vertAlign w:val="superscript"/>
                <w:rtl w:val="0"/>
              </w:rPr>
              <w:t xml:space="preserve">1</w:t>
            </w:r>
            <w:r w:rsidR="00000000" w:rsidRPr="00000000" w:rsidDel="00000000">
              <w:rPr>
                <w:rtl w:val="0"/>
              </w:rPr>
              <w:t xml:space="preserve">) iekārtas mājputnu un cūku audzēšanai – piesārņojošas darbības, kas saistītas ar lauksaimniecības dzīvnieku audzēšanu un kuru jaudu nosaka dzīvnieku skaitu pārrēķinot liellopu vienībās (turpmāk – LLV), izmantojot šā likuma 1.</w:t>
            </w:r>
            <w:r w:rsidR="00000000" w:rsidRPr="00000000" w:rsidDel="00000000">
              <w:rPr>
                <w:vertAlign w:val="superscript"/>
                <w:rtl w:val="0"/>
              </w:rPr>
              <w:t xml:space="preserve">2</w:t>
            </w:r>
            <w:r w:rsidR="00000000" w:rsidRPr="00000000" w:rsidDel="00000000">
              <w:rPr>
                <w:rtl w:val="0"/>
              </w:rPr>
              <w:t xml:space="preserve"> pielikumā atsevišķām dzīvnieku kategorijām noteiktos koeficientus, ja tās sasniedz vai pārsniedz šādus sliekšņus: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cūku audzēšana, ja kopējā jauda ir 350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tikai dējējvistu audzēšana, ja kopējā jauda ir 300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tikai citu mājputnu audzēšana, ja kopējā jauda ir 280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jaukta veida cūku un mājputnu audzēšana, ja kopējā jauda ir 380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mājputni, kas definēti Eiropas Parlamenta un Padomes 2016. gada 9. marta Regulā (ES) 2016/429 par pārnēsājamām dzīvnieku slimībām un ar ko groza un atceļ konkrētus aktus dzīvnieku veselības jomā ("Dzīvnieku veselības tiesību akts");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cūkas atbilstoši lauksaimniecību dzīvnieku jomas regulējošajiem normatīvajiem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43. panta 1. pielikuma 6</w:t>
            </w:r>
            <w:r w:rsidR="00000000" w:rsidRPr="00000000" w:rsidDel="00000000">
              <w:rPr>
                <w:vertAlign w:val="superscript"/>
                <w:rtl w:val="0"/>
              </w:rPr>
              <w:t xml:space="preserve">1</w:t>
            </w:r>
            <w:r w:rsidR="00000000" w:rsidRPr="00000000" w:rsidDel="00000000">
              <w:rPr>
                <w:rtl w:val="0"/>
              </w:rPr>
              <w:t xml:space="preserve">) punktā pēdējā teikuma redakciju "</w:t>
            </w:r>
            <w:r w:rsidR="00000000" w:rsidRPr="00000000" w:rsidDel="00000000">
              <w:rPr>
                <w:i w:val="1"/>
                <w:rtl w:val="0"/>
              </w:rPr>
              <w:t xml:space="preserve">cūkas atbilstoši lauksaimniecību dzīvnieku jomas regulējošajiem normatīvajiem aktiem"</w:t>
            </w:r>
            <w:r w:rsidR="00000000" w:rsidRPr="00000000" w:rsidDel="00000000">
              <w:rPr>
                <w:rtl w:val="0"/>
              </w:rPr>
              <w:t xml:space="preserve"> , jo nav skaidrs kuri konkrēti regulējošie normatīvie akti tiks ņemti vērā. Normatīvie akti lauksaimniecības dzīvnieku jomā ir vairāki, kuros ir noteikta cūku definīcija. Lūdzam likumprojektā un anotācijā konkrēti norādīt, saskaņā ar kuru normatīvo aktu tiks noteikta cūku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pants. "6</w:t>
            </w:r>
            <w:r w:rsidR="00000000" w:rsidRPr="00000000" w:rsidDel="00000000">
              <w:rPr>
                <w:vertAlign w:val="superscript"/>
                <w:rtl w:val="0"/>
              </w:rPr>
              <w:t xml:space="preserve">2</w:t>
            </w:r>
            <w:r w:rsidR="00000000" w:rsidRPr="00000000" w:rsidDel="00000000">
              <w:rPr>
                <w:rtl w:val="0"/>
              </w:rPr>
              <w:t xml:space="preserve">) Šā daļas 6.</w:t>
            </w:r>
            <w:r w:rsidR="00000000" w:rsidRPr="00000000" w:rsidDel="00000000">
              <w:rPr>
                <w:vertAlign w:val="superscript"/>
                <w:rtl w:val="0"/>
              </w:rPr>
              <w:t xml:space="preserve">1 </w:t>
            </w:r>
            <w:r w:rsidR="00000000" w:rsidRPr="00000000" w:rsidDel="00000000">
              <w:rPr>
                <w:rtl w:val="0"/>
              </w:rPr>
              <w:t xml:space="preserve">punkta prasības nepiemēro cūku un mājputnu audzēšanas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audzēšanu veic ar bioloģiskās audzēšanas režīmiem, atbilstoši Eiropas Parlamenta un Padomes 2018.gada 30.maija regulai (ES) 2018/848 par bioloģisko ražošanu un bioloģisko produktu marķēšanu un ar ko atceļ Padomes Regulu (EK) Nr. 834/2007;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vienlaikus izpildās šādi nosacījumi - dzīvnieku blīvums ir mazāks par 2 LLV/ha, dzīvniekus izmanto tikai noganīšanai vai lopbarības audzēšanai, vai lai iegūtu barību dzīvnieku barošanai, un dzīvniekus lielu daļu laika gadā tur āra apstākļos vai sezonāli tur āra apstākļos."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43. panta 1. pielikuma 6</w:t>
            </w:r>
            <w:r w:rsidR="00000000" w:rsidRPr="00000000" w:rsidDel="00000000">
              <w:rPr>
                <w:vertAlign w:val="superscript"/>
                <w:rtl w:val="0"/>
              </w:rPr>
              <w:t xml:space="preserve">2</w:t>
            </w:r>
            <w:r w:rsidR="00000000" w:rsidRPr="00000000" w:rsidDel="00000000">
              <w:rPr>
                <w:rtl w:val="0"/>
              </w:rPr>
              <w:t xml:space="preserve">) punkta b) apakšpunktā esošo redakciju </w:t>
            </w:r>
            <w:r w:rsidR="00000000" w:rsidRPr="00000000" w:rsidDel="00000000">
              <w:rPr>
                <w:i w:val="1"/>
                <w:rtl w:val="0"/>
              </w:rPr>
              <w:t xml:space="preserve">"ja vienlaikus izpildās šādi nosacījumi"</w:t>
            </w:r>
            <w:r w:rsidR="00000000" w:rsidRPr="00000000" w:rsidDel="00000000">
              <w:rPr>
                <w:rtl w:val="0"/>
              </w:rPr>
              <w:t xml:space="preserve">, jo Direktīvas 2024/1785 II pielikuma Ia pielikums 1. un 3. punkts neparedz, ka nosacījumiem jāizpildās vienlaikus, bet gan paredz izvēles iespējas "vai". Lūdzam precizēt b) apakšpunktu atbilstoši Direktīvas 2024/1785 II pielikuma Ia pielikums 1. un 3. punktam. </w:t>
            </w:r>
            <w:r w:rsidR="00000000" w:rsidRPr="00000000" w:rsidDel="00000000">
              <w:rPr>
                <w:rtl w:val="0"/>
              </w:rPr>
              <w:t xml:space="preserve">Piedāvājam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dzīvnieku blīvums ir mazāks par 2 LLV/ha un dzīvniekus izmanto tikai noganīšanai vai lopbarības audzēšanai, vai lai iegūtu barību dzīvnieku barošanai, un dzīvniekus lielāko laika daļu gadā vai sezonāli tur āra apstākļos."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pants. </w:t>
            </w:r>
            <w:r w:rsidR="00000000" w:rsidRPr="00000000" w:rsidDel="00000000">
              <w:rPr>
                <w:rtl w:val="0"/>
              </w:rPr>
              <w:t xml:space="preserve">"Likuma "Par piesārņojumu" 1.</w:t>
            </w:r>
            <w:r w:rsidR="00000000" w:rsidRPr="00000000" w:rsidDel="00000000">
              <w:rPr>
                <w:vertAlign w:val="superscript"/>
                <w:rtl w:val="0"/>
              </w:rPr>
              <w:t xml:space="preserve">2</w:t>
            </w:r>
            <w:r w:rsidR="00000000" w:rsidRPr="00000000" w:rsidDel="00000000">
              <w:rPr>
                <w:rtl w:val="0"/>
              </w:rPr>
              <w:t xml:space="preserve"> pielikums</w:t>
            </w:r>
            <w:r w:rsidR="00000000" w:rsidRPr="00000000" w:rsidDel="00000000">
              <w:rPr>
                <w:rtl w:val="0"/>
              </w:rPr>
              <w:t xml:space="preserve">
</w:t>
            </w:r>
            <w:r w:rsidR="00000000" w:rsidRPr="00000000" w:rsidDel="00000000">
              <w:rPr>
                <w:b w:val="1"/>
                <w:rtl w:val="0"/>
              </w:rPr>
              <w:t xml:space="preserve">Mājputnu un cūku liellopu vienību noteikšanai piemērojamie koeficienti</w:t>
            </w:r>
            <w:r w:rsidR="00000000" w:rsidRPr="00000000" w:rsidDel="00000000">
              <w:rPr>
                <w:rtl w:val="0"/>
              </w:rPr>
              <w:t xml:space="preserve"> </w:t>
            </w:r>
            <w:r w:rsidR="00000000" w:rsidRPr="00000000" w:rsidDel="00000000">
              <w:rPr>
                <w:rtl w:val="0"/>
              </w:rPr>
              <w:t xml:space="preserve">Nosakot iekārtas jaudu, ja divas vai vairākas iekārtas atrodas tuvu viena otrai un ja tām ir viens un tas pats operators vai vairāki operatori, kas savstarpēji ir ekonomiski vai juridiski saistīti, šo iekārtu jaudu summē.  
</w:t>
            </w:r>
          </w:p>
          <w:tbl>
            <w:tblPr>
              <w:tblStyle w:val="DefaultTable"/>
              <w:bidiVisual w:val="0"/>
              <w:tblW w:w="129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
              <w:gridCol w:w="460"/>
              <w:gridCol w:w="371"/>
              <w:tblGridChange w:id="0">
                <w:tblGrid>
                  <w:gridCol w:w="8"/>
                  <w:gridCol w:w="460"/>
                  <w:gridCol w:w="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Dzīvnieks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Koeficients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Vaislas sivēnmāte (&gt; 50 kg)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Sivēni (līdz 20 kilogramiem)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Citas cūkas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Dējējvistas*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Broileri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Tītari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Pīles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Zosis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Strausi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Citi mājputni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0,001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 jaukta veida mājputnu audzēšanā (ieskaitot  dējējvistas) piemērojamais svēruma koeficients dējējvistām ir 0,93 ( 280 LLV/ 300 LLV)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44. punkta 1.</w:t>
            </w:r>
            <w:r w:rsidR="00000000" w:rsidRPr="00000000" w:rsidDel="00000000">
              <w:rPr>
                <w:vertAlign w:val="superscript"/>
                <w:rtl w:val="0"/>
              </w:rPr>
              <w:t xml:space="preserve">2 </w:t>
            </w:r>
            <w:r w:rsidR="00000000" w:rsidRPr="00000000" w:rsidDel="00000000">
              <w:rPr>
                <w:rtl w:val="0"/>
              </w:rPr>
              <w:t xml:space="preserve">pielikuma teikumu </w:t>
            </w:r>
            <w:r w:rsidR="00000000" w:rsidRPr="00000000" w:rsidDel="00000000">
              <w:rPr>
                <w:i w:val="1"/>
                <w:rtl w:val="0"/>
              </w:rPr>
              <w:t xml:space="preserve">“Nosakot iekārtas jaudu, ja divas vai vairākas iekārtas atrodas tuvu viena otrai un ja tām ir viens un tas pats operators vai vairāki operatori, kas savstarpēji ir ekonomiski vai juridiski saistīti, šo iekārtu jaudu summē”</w:t>
            </w:r>
            <w:r w:rsidR="00000000" w:rsidRPr="00000000" w:rsidDel="00000000">
              <w:rPr>
                <w:rtl w:val="0"/>
              </w:rPr>
              <w:t xml:space="preserve">, nosakot objektīvus kritērijus, pēc kuriem identificējamas summējamās iekārtas, tostarp nosakot, ko nozīmē “atrodas tuvu viena otrai”, kā arī kārtību, kādā konstatējama operatoru ekonomiskā vai juridiskā saistība.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redakcionāli precizēt likumprojekta 44. punkta 1.</w:t>
            </w:r>
            <w:r w:rsidR="00000000" w:rsidRPr="00000000" w:rsidDel="00000000">
              <w:rPr>
                <w:vertAlign w:val="superscript"/>
                <w:rtl w:val="0"/>
              </w:rPr>
              <w:t xml:space="preserve">2</w:t>
            </w:r>
            <w:r w:rsidR="00000000" w:rsidRPr="00000000" w:rsidDel="00000000">
              <w:rPr>
                <w:rtl w:val="0"/>
              </w:rPr>
              <w:t xml:space="preserve"> pielikuma  nosaukumu </w:t>
            </w:r>
            <w:r w:rsidR="00000000" w:rsidRPr="00000000" w:rsidDel="00000000">
              <w:rPr>
                <w:b w:val="1"/>
                <w:i w:val="1"/>
                <w:rtl w:val="0"/>
              </w:rPr>
              <w:t xml:space="preserve">"Mājputnu un cūku liellopu vienību noteikšanai piemērojamie koeficienti"</w:t>
            </w:r>
            <w:r w:rsidR="00000000" w:rsidRPr="00000000" w:rsidDel="00000000">
              <w:rPr>
                <w:rtl w:val="0"/>
              </w:rPr>
              <w:t xml:space="preserve">, jo esošais formulējums apgrūtina piemērotas normas izpratni. Piedāvājam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"Piemērojamie koeficienti liellopu vienību aprēķināšanai mājputniem un cūkām"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sadaļās 1.1. Apraksts un 1.2. Mērķis ir norādīts, ka likumprojekts izstrādāts, lai pārņemtu Eiropas parlamenta un Padomes 2024.gada 24.aprīļa direktīvas (ES) 2024/1785 ar ko groza Eiropas Parlamenta un Padomes Direktīvu 2010/75/ES par rūpnieciskajām emisijām (piesārņojuma integrēta novēršana un kontrole) un Padomes Direktīvu 1999/31/EK par atkritumu poligoniem noteiktās prasības. Taču no esošās likumprojekta grozījumu redakcijas tas nav saprotams. Lūdzam anotācijas sadaļā 1.3. Pašreizējā situācija, problēmas un risinājumi, skaidrot kā tiks ieviests direktīvas 2024/1785 39) punkts, proti 'VIA nodaļa  - Īpaši noteikumi attiecībā uz mājputnu un cūku audzēšanu", tostarp attiecībā uz šīs nodaļas darbības jomā ietilpstošo iekārtu ekspluatācijas atbilstību 70.i pantā minētajiem vienotajiem nosacījumiem ekspluatācijas noteikumu ieviešanu, atļauju izsniegšanu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sniegts pietiekams izvērtējums par šāda regulējuma iespējamo ietekmi uz mājsaimniecībām un citiem apkures iekārtu lietotājiem. Lai gan anotācijā norādīts, ka pašvaldībām, pieņemot lēmumus par ierobežojumu noteikšanu, jāņem vērā centralizētās siltumapgādes pieejamība un iedzīvotāju finansiālās iespējas, nav izvērtēts potenciāli skarto mājsaimniecību loks un iespējamās izmaksas prasību izpildei. Tāpat nav izvērtēta ietekme uz sociāli mazaizsargātām iedzīvotāju grupām un enerģētiskās nabadzības riskam pakļautām mājsaimniecībām. Lai arī konkrētais ietekmes apjoms būs atkarīgs no katras pašvaldības pieņemtajiem lēmumiem un šobrīd nav precīzi nosakāms, anotācijā būtu jānorāda likumprojekta ietekmes potenciālais tvērums un tā būtu papildināma ar detalizētāku sociālekonomiskās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lietot vienotu terminoloģiju atbilstoši terminam “dzīvnieku izcelsmes blakusprodukti”, attiecīgi anotācijas sadaļā 1.3. Pašreizējā situācija, problēmas un risinājumi, 54. lpp. tekstu papildinot ar vārdu “izcelsmes”.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1.3. Pašreizējā situācija, problēmas un risinājumi, 54. lpp. tekstā precizēt lietoto terminoloģiju attiecīgi vai nu "liellopu vienības" vai "dzīvnieku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teikumā </w:t>
            </w:r>
            <w:r w:rsidR="00000000" w:rsidRPr="00000000" w:rsidDel="00000000">
              <w:rPr>
                <w:i w:val="1"/>
                <w:rtl w:val="0"/>
              </w:rPr>
              <w:t xml:space="preserve">"Saimniecībās, kurās tiek turētas tikai dējēvistas ar </w:t>
            </w:r>
            <w:r w:rsidR="00000000" w:rsidRPr="00000000" w:rsidDel="00000000">
              <w:rPr>
                <w:b w:val="1"/>
                <w:i w:val="1"/>
                <w:rtl w:val="0"/>
              </w:rPr>
              <w:t xml:space="preserve">dzīvnieku vienību</w:t>
            </w:r>
            <w:r w:rsidR="00000000" w:rsidRPr="00000000" w:rsidDel="00000000">
              <w:rPr>
                <w:i w:val="1"/>
                <w:rtl w:val="0"/>
              </w:rPr>
              <w:t xml:space="preserve"> skaitu 300 vai vairāk, vai tikai citu mājputnu kategorijas ar </w:t>
            </w:r>
            <w:r w:rsidR="00000000" w:rsidRPr="00000000" w:rsidDel="00000000">
              <w:rPr>
                <w:b w:val="1"/>
                <w:i w:val="1"/>
                <w:rtl w:val="0"/>
              </w:rPr>
              <w:t xml:space="preserve">liellopu vienību</w:t>
            </w:r>
            <w:r w:rsidR="00000000" w:rsidRPr="00000000" w:rsidDel="00000000">
              <w:rPr>
                <w:i w:val="1"/>
                <w:rtl w:val="0"/>
              </w:rPr>
              <w:t xml:space="preserve"> skaitu 280 vai vairāk"</w:t>
            </w:r>
            <w:r w:rsidR="00000000" w:rsidRPr="00000000" w:rsidDel="00000000">
              <w:rPr>
                <w:rtl w:val="0"/>
              </w:rPr>
              <w:t xml:space="preserve">. Atbilstoši Direktīvas 2024/1785 II pielikuma (grozītās Direktīvas 2010/75/ES I.a pielikuma) prasībām tiek lielots termins  "liellopu vienības", nevis "dzīvnieku".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sadaļā attiecībā uz dzīvnieku līķu un dzīvnieku izcelsmes atkritumu apglabāšanas vai pārstrādes iekārtas, kuru jauda pārsniedz 10 tonnas dienās dzīvnieku atkritumi tiek aizstāti ar "dzīvnieku izcelsmes blakusprodukti”."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Lavrinoviča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14.08.2026.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14.08.2026.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