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kādu paraugu daļu uzskata par </w:t>
            </w:r>
            <w:r w:rsidR="00000000" w:rsidRPr="00000000" w:rsidDel="00000000">
              <w:rPr>
                <w:b w:val="1"/>
                <w:rtl w:val="0"/>
              </w:rPr>
              <w:t xml:space="preserve">izlietotu</w:t>
            </w:r>
            <w:r w:rsidR="00000000" w:rsidRPr="00000000" w:rsidDel="00000000">
              <w:rPr>
                <w:rtl w:val="0"/>
              </w:rPr>
              <w:t xml:space="preserve"> un tā pieņemšana atpakaļ no ekspertīzes veicēja saimnieciskā darbības veicējam nenotiek (saskaņā ar Noteikumu 15.punktu), proti, ja paraugā un tā iepakojumā ir notikusi jebkāda veida iejaukšanās, tai skaitā tā atvēršana, tad šāds paraugs tiek uzskatīts par izlietotu un tā pieņemšana atpakaļ no ekspertīzes veicēja nenotiek.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25.01.2023.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25.01.2023.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