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Šo noteikumu 3.2.5., 6.3. un 6.4. apakšpunktā minētajām personām, uz kuru vārda zemesgrāmatā ierakstāmas īpašumtiesības uz iegādājamo vai būvējamo dzīvojamo telpu un kuras uzskatāmas par iekšzemes nodokļu maksātājiem (rezidentiem) pēdējos 12 mēnešus, un kuru vidējie ienākumi, par kuriem maksājams iedzīvotāju ienākuma nodoklis, šo noteikumu 4.9. apakšpunktā minētajos datos norādītajā iepriekšējā taksācijas gadā kopsummā bruto nepārsniedz 17 000 </w:t>
            </w:r>
            <w:r w:rsidR="00000000" w:rsidRPr="00000000" w:rsidDel="00000000">
              <w:rPr>
                <w:i w:val="1"/>
                <w:rtl w:val="0"/>
              </w:rPr>
              <w:t xml:space="preserve">euro</w:t>
            </w:r>
            <w:r w:rsidR="00000000" w:rsidRPr="00000000" w:rsidDel="00000000">
              <w:rPr>
                <w:rtl w:val="0"/>
              </w:rPr>
              <w:t xml:space="preserve"> vienai personai atbilstoši šo noteikumu 6.</w:t>
            </w:r>
            <w:r w:rsidR="00000000" w:rsidRPr="00000000" w:rsidDel="00000000">
              <w:rPr>
                <w:vertAlign w:val="superscript"/>
                <w:rtl w:val="0"/>
              </w:rPr>
              <w:t xml:space="preserve">6 </w:t>
            </w:r>
            <w:r w:rsidR="00000000" w:rsidRPr="00000000" w:rsidDel="00000000">
              <w:rPr>
                <w:rtl w:val="0"/>
              </w:rPr>
              <w:t xml:space="preserve">punktam, un kurām nepieder cita dzīvojamā telpa, budžetā paredzamā finansējuma ietvaros vienu reizi ir pieejama atbalsta programmas "Balsts" subsīdija, nepārsniedzot 50 % no dzīvojamās telpas iegādes vai būvniecības darījuma summas,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Ekonomikas  ministrijas (Turpmāk - EM) sagatavoto normatīvā akta projektu  “Grozījumi Ministru kabineta 2018. gada 20. februāra noteikumos Nr. 95 "Noteikumi par valsts palīdzību dzīvojamās telpas iegādei vai būvniecībai"” (turpmāk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3.punktu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 saglabāt Noteikumu punktā 6</w:t>
            </w:r>
            <w:r w:rsidR="00000000" w:rsidRPr="00000000" w:rsidDel="00000000">
              <w:rPr>
                <w:vertAlign w:val="superscript"/>
                <w:rtl w:val="0"/>
              </w:rPr>
              <w:t xml:space="preserve">5</w:t>
            </w:r>
            <w:r w:rsidR="00000000" w:rsidRPr="00000000" w:rsidDel="00000000">
              <w:rPr>
                <w:rtl w:val="0"/>
              </w:rPr>
              <w:t xml:space="preserve"> esošo slieksni atbalsta pieejamībai 17 000 euro vienai personai, kā arī saglabāt 6.</w:t>
            </w:r>
            <w:r w:rsidR="00000000" w:rsidRPr="00000000" w:rsidDel="00000000">
              <w:rPr>
                <w:vertAlign w:val="superscript"/>
                <w:rtl w:val="0"/>
              </w:rPr>
              <w:t xml:space="preserve">5</w:t>
            </w:r>
            <w:r w:rsidR="00000000" w:rsidRPr="00000000" w:rsidDel="00000000">
              <w:rPr>
                <w:rtl w:val="0"/>
              </w:rPr>
              <w:t xml:space="preserve">1.apakšpunktos minētos robežlielumus 8 000 euro; 10 000 euro un 12 000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2020.gada, kad minētais slieksnis ir ieviests, inflācijas ietekmē ir mainījusies naudas pirktspēja, LDDK ieskatā tiem ir jāpiemēro inflāciju kompensējoši koeficienti.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18.10.2023.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18.10.2023.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