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25.5.6. mārketinga un atpazīstamības aktivitātes, ja aktivitātes pēc savas būtības sniedz labumu ne mazāk kā trim sadarbības tīkla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precizēt 25.5.6.punktu, izslēdzot prasību par  to, ka aktivitātei ir jāsniedz labums ne mazāk kā trim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līdzšinējā prakse ir pierādījusi, ka šādu aktivitātes īstenošana ir nozīmīga ne tikai kopēji lielākam lokam tīkla dalībnieku, bet arī individuāli - īpaši ņemot vērā arī atsevišķu industriju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minams, ka minētais punkts ir pretrunā ar MK noteikumu punktu Nr.27.2.5., kas pasaka, ka šo noteikumu 27.1.4., 27.1.5., 27.1.6., 27.1.7., 27.1.9., 27.1.10. un 27.1.11. apakšpunktā minētās izmaksas, </w:t>
            </w:r>
            <w:r w:rsidR="00000000" w:rsidRPr="00000000" w:rsidDel="00000000">
              <w:rPr>
                <w:u w:val="single"/>
                <w:rtl w:val="0"/>
              </w:rPr>
              <w:t xml:space="preserve">ja atbalsts tiek sniegts atsevišķam sadarbības tīkla dalībniekam </w:t>
            </w:r>
            <w:r w:rsidR="00000000" w:rsidRPr="00000000" w:rsidDel="00000000">
              <w:rPr>
                <w:rtl w:val="0"/>
              </w:rPr>
              <w:t xml:space="preserve"> - attiecīgi, paredzot mārketinga materiālu izveidei vienam tīkla dalībniekam.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11.06.2026. 10.17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11.06.2026. 10.17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Atzinumi_25-TA-3063.docx</dc:title>
</cp:coreProperties>
</file>

<file path=docProps/custom.xml><?xml version="1.0" encoding="utf-8"?>
<Properties xmlns="http://schemas.openxmlformats.org/officeDocument/2006/custom-properties" xmlns:vt="http://schemas.openxmlformats.org/officeDocument/2006/docPropsVTypes"/>
</file>