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Informatīvā ziņojuma sadaļu "Iespējami jauni finansējuma avoti kompensāciju nodrošināšanai" ar Darba grupā dažādos viedokļos balstīto, tomēr diskutēto Dabas resursu nodokļa ieviešanu par galvenās cirtes veida kailcirtes īstenošanu, attiecinot to izcirstam koksnes m3 apjomam. Priekšlikums ir atbilstošs dabas resursu nodokļa mērķa tvērumam un izpratnei par kailcirtes pielietojuma negatīvo ietekme uz meža videi raksturīgo bioloģisko daudzveidību.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Rotbergs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23.09.2024.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23.09.2024.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Atzinumi_24-TA-2287.docx</dc:title>
</cp:coreProperties>
</file>

<file path=docProps/custom.xml><?xml version="1.0" encoding="utf-8"?>
<Properties xmlns="http://schemas.openxmlformats.org/officeDocument/2006/custom-properties" xmlns:vt="http://schemas.openxmlformats.org/officeDocument/2006/docPropsVTypes"/>
</file>