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23-TA-510: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7. februāra noteikumos Nr. 78 "Dabasgāzes tirdzniecības un lietošanas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"Latvenergo"</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3</w:t>
            </w:r>
            <w:r w:rsidR="00000000" w:rsidRPr="00000000" w:rsidDel="00000000">
              <w:rPr>
                <w:rtl w:val="0"/>
              </w:rPr>
              <w:t xml:space="preserve"> Dabasgāzes sadales sistēmas operators aprēķina šo noteikumu 41.</w:t>
            </w:r>
            <w:r w:rsidR="00000000" w:rsidRPr="00000000" w:rsidDel="00000000">
              <w:rPr>
                <w:vertAlign w:val="superscript"/>
                <w:rtl w:val="0"/>
              </w:rPr>
              <w:t xml:space="preserve">2</w:t>
            </w:r>
            <w:r w:rsidR="00000000" w:rsidRPr="00000000" w:rsidDel="00000000">
              <w:rPr>
                <w:rtl w:val="0"/>
              </w:rPr>
              <w:t xml:space="preserve"> punktā minēto atsauces dabasgāzes cenu nākamajam kalendārajam mēnesim, nosakot aritmētisko vidējo no Nīderlandes biržas Title Transfer Facility (TTF) gāzes cenu indeksa nākotnes prognozēm nākamajiem 6 mēnešiem uz kārtējā mēneša pirmo darba dienu un to reizinot ar koeficientu 1,25. Atsauces dabasgāzes cenu dabasgāzes sadales sistēmas operators publicē savā tīmekļvietnē ne vēlāk kā kārtējā mēneša trešajā darba dienā.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redakcija piedāvā, ka universālā pakalpojuma atsauces dabasgāzes cenu aprēķina izmantojot TTF finanšu instrumenta cena, kurai piemēro koeficientu 1.25.  AS "Latvenergo" uzskata, ka koeficienta piemērošana nav atbalstāma,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TTF cenu dinamika pēdējo vairāk kā 3 gadu laikā demonstrējusi milzīgas svārstības, (TTF indekss bijis robežās no 5.02 līdz 233.83 EUR/MWh);</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Šāds pakalpojuma regulācijas risinājums un augstā cenu dinamika, kas novērota globālajā dabasgāzes tirgū  ietekmēs to, vai tirgotājs noteiktās tirgus situācijās spēs izveidot citus tirdzniecības produktu piedāvājumus, kas būs konkurētspējīgs ar universālā pakalpojuma cenas piedāvājumu;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jāņem vērā, ka klientu apkalpošanas, tirdzniecības izmaksām nav saistības ar lietotāja patēriņu, tirgotā produkta cenu, līdz ar to fiksēta koeficienta piemērošana var nesegt visas tirgotāja izmaksas, lai nodrošinātu universālo pakalpojumu ikvienam lietotājam.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Latvenergo rosina saglabāt TTF cenas atsauci, bet svītrot piemērojamo koeficientu.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41.3 Dabasgāzes sadales sistēmas operators aprēķina šo noteikumu 41.2 punktā minēto atsauces dabasgāzes cenu nākamajam kalendārajam mēnesim, nosakot aritmētisko vidējo cenu no Nīderlandes biržas Title Transfer Facility (TTF) nākamo 6 mēnešu finanšu instrumenta cenas  uz kārtējā mēneša pirmo darba dienu.  Atsauces dabasgāzes cenu dabasgāzes sadales sistēmas operators publicē savā tīmekļvietnē ne vēlāk kā kārtējā mēneša trešajā darba dienā.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Bunkovskis (Latvenergo)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 Dabasgāzes tirgotājs, iekļaujot lietotāja rēķinā maksu par sadales sistēmas pakalpojumiem, pamatojas uz dabasgāzes lietotāja paziņoto komercuzskaites mēraparāta rādījumu, bet, ja tāds nav iesniegts vai iesniegtais rādījums acīmredzami ir nekorekts, tad, pamatojoties uz sadales sistēmas operatora sniegtajiem aprēķiniem par dabasgāzes patēriņu gazificētajā objektā, kas noteikti atbilstoši šo noteikumu XI nodaļā minētajiem veidiem un saskaņā ar Enerģētikas likumā noteiktajā kārtībā apstiprinātajiem tarifiem.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atbalstām, ka tirgotājam ir jāspēj pieņemt lietotāja ziņotos skaitītāja rādījumus, 155.punkta redakcija rada neskaidru izpratni, par to kurš, tirgotājs vai sadales sistēmas operators veic rēķina rindu sagatavošanu par sadales sistēmas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tāpat, kā to nosaka noteikumu XI.nodaļa, informāciju un datus par patēriņu, piemērojamo tarifu un pakalpojumu maksas aprēķinu ir jāgatavo sadales sistēmas operatoram.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Bunkovskis (Latvenergo)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Dabasgāzes tirdzniecības līgumu klātienē vai izmantojot distances saziņas līdzekļus slēdz ar lietotāju, kuram ir gazificētā objekta īpašuma, lietošanas vai valdījuma tiesības.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uzsākt diskusiju, lai pilnveidotu regulējumu, kas nosaka, kāda persona ir tiesīga noslēgt dabasgāzes tirdzniecības līgumu. Esošais regulējums nosaka, ka līgumu ir tiesīgs noslēgt lietotājs, kuram ir gazificētā objekta īpašuma, lietošanas vai valdījuma tiesības. Ievērojot, ka enerģijas tirdzniecības tirgi un to pakalpojumi kļūst savstarpēji saistīti, ar vien vairāk tirgotāji, nodrošina tirdzniecības pakalpojumus gan dabasgāzes, gan elektroenerģijas piegādei. Jāņem vērā, ka elektroenerģijas tirgus regulējumā, kas nosaka pušu attiecības, specifiski netiek ierobežotas tiesības, kurš lietotājs ir tiesīgs noslēgt tirdzniecības līgumu. Uzskatām, ka esošais regulējums ir adminstratīvs šķērlis tirgotājiem, tas tiem rada izmaksas, jo no potenciālā klienta ir jāiegūst informācija, ka tam piemīt noteikumu regulējumā minētās tiesības. Tāpat tas kavē tirdzniecības pakalpojumu savstrapēju integrāciju.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Dabasgāzes tirdzniecības līgumu ar lietotāju slēdz klātienē vai izmantojot distances saziņas līdzekļus.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Bunkovskis (Latvenergo)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77.1.</w:t>
            </w:r>
            <w:r w:rsidR="00000000" w:rsidRPr="00000000" w:rsidDel="00000000">
              <w:rPr>
                <w:vertAlign w:val="superscript"/>
                <w:rtl w:val="0"/>
              </w:rPr>
              <w:t xml:space="preserve">1</w:t>
            </w:r>
            <w:r w:rsidR="00000000" w:rsidRPr="00000000" w:rsidDel="00000000">
              <w:rPr>
                <w:rtl w:val="0"/>
              </w:rPr>
              <w:t xml:space="preserve"> pieprasīt un saņemt no lietotājiem, kā arī nodot sadales sistēmas operatoram informāciju par lietotāju komercuzskaites mēraparātu rādījumiem;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Latvenergo atbalsta, ka tirgotājs nodrošina lietotājiem iespēju iesniegt skaitītāja rādījumus, ko tad tālāk nodod sistēmas operatoram.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Bunkovskis (Latvenergo)</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23-TA-510</w:t>
    </w:r>
    <w:r>
      <w:br/>
    </w:r>
    <w:r w:rsidR="00000000" w:rsidRPr="00000000" w:rsidDel="00000000">
      <w:rPr>
        <w:rtl w:val="0"/>
      </w:rPr>
      <w:t xml:space="preserve">Izdrukāts 06.03.2023. 18.41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23-TA-510</w:t>
    </w:r>
    <w:r>
      <w:br/>
    </w:r>
    <w:r w:rsidR="00000000" w:rsidRPr="00000000" w:rsidDel="00000000">
      <w:rPr>
        <w:rtl w:val="0"/>
      </w:rPr>
      <w:t xml:space="preserve">Izdrukāts 06.03.2023. 18.41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Atzinumi_23-TA-510.docx</dc:title>
</cp:coreProperties>
</file>

<file path=docProps/custom.xml><?xml version="1.0" encoding="utf-8"?>
<Properties xmlns="http://schemas.openxmlformats.org/officeDocument/2006/custom-properties" xmlns:vt="http://schemas.openxmlformats.org/officeDocument/2006/docPropsVTypes"/>
</file>