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24-TA-1754: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atbilstības novērtēšanu"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pantu ar sesto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Par tādu preču laišanu tirgū, kurām nav veikta riska analīze un izstrādāta tehniskā dokumentācija preces drošuma novērtēšanai saskaņā ar regulas Nr.2023/988 9. panta 2. punktu, piemēro naudas sodu fiziskajai personai no piecdesmit sešām līdz simt četrdesmit naudas soda vienībām, bet juridiskajai personai — no simt četrdesmit līdz astoņsimt sešdesmit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Tieslietu ministrijas iepriekšējos atzinumos izteiktais iebildums tomēr nav ņemts vērā.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Neskarot iepriekšējos atzinumos minēto, vēršam uzmanību, ka Eiropas Parlamenta un Padomes 2023. gada 10. maija Regulas (ES) 2023/988 par ražojumu vispārēju drošumu, ar ko groza Eiropas Parlamenta un Padomes Regulu (ES) Nr.1025/2012 un Eiropas Parlamenta un Padomes Direktīvu (ES) 2020/1828 un atceļ Eiropas Parlamenta un Padomes Direktīvu 2001/95/EK un Padomes Direktīvu 87/357/EEK (turpmāk - regula Nr. 2023/988), 9. panta 2. punkts ietver ne tikai ražotāja pienākumu veikt riska analīzi, bet arī minētās analīzes saturu. Proti, "...ražotāji veic iekšējo riska analīzi un izstrādā tehnisko dokumentāciju, kurā </w:t>
            </w:r>
            <w:r w:rsidR="00000000" w:rsidRPr="00000000" w:rsidDel="00000000">
              <w:rPr>
                <w:b w:val="1"/>
                <w:rtl w:val="0"/>
              </w:rPr>
              <w:t xml:space="preserve">ietverts vismaz vispārīgs apraksts par ražojumu un tā būtiskākajiem raksturlielumiem, kas ir svarīgi ražojuma drošuma novērtēšanai.</w:t>
            </w:r>
            <w:r w:rsidR="00000000" w:rsidRPr="00000000" w:rsidDel="00000000">
              <w:rPr>
                <w:rtl w:val="0"/>
              </w:rPr>
              <w:t xml:space="preserve">.".</w:t>
            </w:r>
            <w:r w:rsidR="00000000" w:rsidRPr="00000000" w:rsidDel="00000000">
              <w:rPr>
                <w:b w:val="1"/>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jebkurai personai, izlasot administratīvo pārkāpumu, būtu jāspēj saprast, par kādu tieši darbību vai bezdarbību tai var tikt piemērotas sodoša rakstura sankcijas. Ievērojot minēto, lūdzam attiecīgi precizēt likumprojektu.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Pogiļdjakova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pantu ar devīto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Par preču laišanu tirgū, piedāvāšanu vai pārdošanu, ja tās neatbilst šā likuma 4. panta otrajā daļā minētā normatīvajā aktā vai tieši piemērojamā Eiropas Savienības tiesību aktā noteiktajām drošuma vai būtiskajām prasībām, vai tehniskajiem parametriem, radot risku, piemēro naudas sodu fiziskajai personai no četrpadsmit līdz simt četrdesmit naudas soda vienībām, bet juridiskajai personai — no piecdesmit sešām līdz divtūkstoš astoņsimt naudas soda vienībām.";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Tieslietu ministrijas 2025. gada 4. februāra iebildums nav ticis ņemts vērā un attiecīgā norma joprojām ir neskaidra.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pantā ietverto pārkāpuma formulējumu tā, lai ikvienam būtu saprotama normas jēga un saturs. Savukārt attiecībā uz likuma 4. panta otro daļu lūdzam izvērtēt un precizēt to, proti, lai būtu skaidrs, kādi nacionālie normatīvie akti ir ietverti pantā, lūdzam šajā pantā piemērveidā uzskaitīt (norādīt) vairākus nacionālos normatīvos aktus un attiecīgi papildināt anotāciju ar pamatojumu konkrētu normatīvu aktu ietveršanai likuma 4. panta otrajā 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Pogiļdjakova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9.</w:t>
            </w:r>
            <w:r w:rsidR="00000000" w:rsidRPr="00000000" w:rsidDel="00000000">
              <w:rPr>
                <w:vertAlign w:val="superscript"/>
                <w:rtl w:val="0"/>
              </w:rPr>
              <w:t xml:space="preserve">7</w:t>
            </w:r>
            <w:r w:rsidR="00000000" w:rsidRPr="00000000" w:rsidDel="00000000">
              <w:rPr>
                <w:rtl w:val="0"/>
              </w:rPr>
              <w:t xml:space="preserve"> panta pirmo daļu ar 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pieprasīt par tiešsaistes saskarni atbildīgajam saimnieciskās darbības veicējam izņemt no to tiešsaistes saskarnes saturu, kurā ir atsauce uz noteiktajām prasībām neatbilstošas bīstamas preces piedāvājumu, atspējot piekļuvi šim saturam vai izvietot skaidru brīdinājumu. Tirgus uzraudzības iestādes var pieprasīt, lai norādītajā laikposmā par tiešsaistes saskarni atbildīgais saimnieciskās darbības veicējs no tā tiešsaistes saskarnes izņem visu identisko nelikumīgo saturu, kas saistīts ar attiecīgo noteiktajām prasībām neatbilstošo bīstamo preci, atspējo piekļuvi tam vai parāda tiešu brīdinājumu ar nosacījumu, ka attiecīgā satura meklēšana aprobežojas ar rīkojumā norādīto informāciju un neprasa par tiešsaistes saskarni atbildīgajam saimnieciskās darbības veicējam veikt minētā satura neatkarīgu novērtējumu un ka meklēšanu un izņemšanu var samērīgā veidā veikt ar uzticamiem automatizētiem rīkiem."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anotācijā skaidrot, kas ir domāts ar noteiktajām prasībām, vai precizēt likumprojekta 4. pantu (piem., izslēdzot atsauci uz noteiktajām prasībām). Vēršam uzmanību, ka, piemēram, pieņēmums par atbilstību vispārējām drošuma prasībām saskaņā ar regulas Nr. 2023/988 7. panta 3. punktu neliedz tirgus uzraudzības iestādēm veikt visus piemērotos pasākumus saskaņā ar šo regulu, ja ir pierādījumi, ka, neraugoties uz šādu pieņēmumu, ražojums ir bīstams. Attiecīgi secināms, ka pirmšķietami atbilstoši regulai var būt arī bīstamas preces, kuras var atbilst noteiktajām prasībām, turklāt uz noteiktajām prasībām nav norādīts arī minētās regulas 22. panta 4. un 5. punktā, kas ar likumprojektu tiek ieviesti, no kā savukārt var secināt, ka abos minētajos punktos ietvertās pilnvaras ir plašākas, nekā likumprojekta 4. pantā norādītās.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minēts, tā kā Ministru kabineta 2014.gada 9.decembra noteikumi Nr.755 “Gāzes balonu aprites, uzraudzības un kontroles kārtība” ir izdoti saskaņā ar Preču un pakalpojumu drošuma likuma 8.</w:t>
            </w:r>
            <w:r w:rsidR="00000000" w:rsidRPr="00000000" w:rsidDel="00000000">
              <w:rPr>
                <w:vertAlign w:val="superscript"/>
                <w:rtl w:val="0"/>
              </w:rPr>
              <w:t xml:space="preserve">1</w:t>
            </w:r>
            <w:r w:rsidR="00000000" w:rsidRPr="00000000" w:rsidDel="00000000">
              <w:rPr>
                <w:rtl w:val="0"/>
              </w:rPr>
              <w:t xml:space="preserve"> pantu, tie zaudēs spēku. Ar saistīto likumprojektu "Pakalpojumu drošuma likums" (24-TA-1022) ietverti pārejas noteikumi, lai neradītu juridiskā vakuuma situāciju. Saistībā ar minēto, lūdzam izvērtēt un, ņemot vērā, ka tieši likumprojekts attiecas uz preču drošuma prasībām, - papildināt likumprojektu ar attiecīgiem pārejas noteikumiem, minētos pārejas noteikumus izslēdzot likumprojektā "Pakalpojumu drošuma 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24-TA-1754</w:t>
    </w:r>
    <w:r>
      <w:br/>
    </w:r>
    <w:r w:rsidR="00000000" w:rsidRPr="00000000" w:rsidDel="00000000">
      <w:rPr>
        <w:rtl w:val="0"/>
      </w:rPr>
      <w:t xml:space="preserve">Izdrukāts 11.03.2025. 09.23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24-TA-1754</w:t>
    </w:r>
    <w:r>
      <w:br/>
    </w:r>
    <w:r w:rsidR="00000000" w:rsidRPr="00000000" w:rsidDel="00000000">
      <w:rPr>
        <w:rtl w:val="0"/>
      </w:rPr>
      <w:t xml:space="preserve">Izdrukāts 11.03.2025. 09.23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Atzinumi_24-TA-1754.docx</dc:title>
</cp:coreProperties>
</file>

<file path=docProps/custom.xml><?xml version="1.0" encoding="utf-8"?>
<Properties xmlns="http://schemas.openxmlformats.org/officeDocument/2006/custom-properties" xmlns:vt="http://schemas.openxmlformats.org/officeDocument/2006/docPropsVTypes"/>
</file>