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24-TA-2301: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23. novembra rīkojumā Nr. 799 "Par sabiedrības ar ierobežotu atbildību "Valsts aizsardzības korporācija" dibināšanu"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norādīits, ka "saskaņā ar Publiskas personas kapitāla daļu un kapitālsabiedrību pārvaldības likuma (turpmāk – Likums) 62. un 63. pantu nepieciešams palielināt valsts sabiedrības ar ierobežotu atbildību “Valsts aizsardzības korporācija” (turpmāk - Korporācija) pamatkapitālu". Ņemot vērā, ka Likuma 62. un 63. pants nosaka pamatkapitāla palielināšanas kārtību, nevis nosaka  nepieciešamību, lūdzam precizēt anotācijas sadaļu par tiesību akta projekta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norādi, ka pamatkapitāla palielināšanas noteikumos tiks ietverti ieguldītā finansējuma izlietošanas mērķi. Tāpat vēršamu uzmanību, ka Aizsardzības ministrijai kā kapitāla daļu turētājai, izmantojot tiesiskajā regulējumā noteiktos instrumentus, ir jānodrošina, ka pamatkapitālā ieguldītais finansējums tiks izmantots mērķiem, kam tas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r w:rsidR="00000000" w:rsidRPr="00000000" w:rsidDel="00000000">
              <w:rPr>
                <w:rtl w:val="0"/>
              </w:rPr>
              <w:t xml:space="preserve"> ar iespēju to palielināt līdz 2 000 000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42.panta pirmās daļas 3.punktam rīkojumā par valsts kapitālsabiedrības dibināšanu Ministru kabinets nosaka kapitālsabiedrības pamatkapitāla lielumu un apmaksas veidu. Saskaņā ar Komerclikuma 151.panta pirmo daļu  pamatkapitālu apmaksā ar naudu vai mantisku ieguldījumu. Ministru kabineta 2023. gada 23. novembra rīkojumā Nr. 799 "Par sabiedrības ar ierobežotu atbildību "Valsts aizsardzības korporācija" dibināšanu" (turpmāk – Rīkojums) 5.punktā ir noteikts kapitālsabiedrības pamatkapitāla summa ar iespēju to palielināt līdz noteiktam apmēram, bet nav ietverts apmaksas veids. Arī Rīkojuma (grozījumu) projekts – neietver pamatkapitāla apmaksas veidu. Lūdzam precizēt Rīkojuma (grozījumu) projektu, nosakot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r w:rsidR="00000000" w:rsidRPr="00000000" w:rsidDel="00000000">
              <w:rPr>
                <w:rtl w:val="0"/>
              </w:rPr>
              <w:t xml:space="preserve"> ar iespēju to palielināt līdz 2 000 000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grozīt kapitālsabiedrības dibināšanas lēmumu ikreiz, kad tiek izskatīts jautājums par pamatkapitāla palielināšanu. Ņemot vērā, ka kapitālsabiedrībai ir reģistrētā Uzņēmumu reģistrā, dibināšanas lēmums ir izpildīts un kapitālsabiedrības pamatkapitāls ir apmaksāts. Savukārta atbilstoši Kapitālsabiedrību pārvaldības likuma 66. panta pirmās daļas 9. punktam lēmuma pieņemšana par kapitālsabiedrības pamatkapitāla palielināšanu ir dalībnieku sapulces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24-TA-2301</w:t>
    </w:r>
    <w:r>
      <w:br/>
    </w:r>
    <w:r w:rsidR="00000000" w:rsidRPr="00000000" w:rsidDel="00000000">
      <w:rPr>
        <w:rtl w:val="0"/>
      </w:rPr>
      <w:t xml:space="preserve">Izdrukāts 21.10.2024.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24-TA-2301</w:t>
    </w:r>
    <w:r>
      <w:br/>
    </w:r>
    <w:r w:rsidR="00000000" w:rsidRPr="00000000" w:rsidDel="00000000">
      <w:rPr>
        <w:rtl w:val="0"/>
      </w:rPr>
      <w:t xml:space="preserve">Izdrukāts 21.10.2024.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Atzinumi_24-TA-2301.docx</dc:title>
</cp:coreProperties>
</file>

<file path=docProps/custom.xml><?xml version="1.0" encoding="utf-8"?>
<Properties xmlns="http://schemas.openxmlformats.org/officeDocument/2006/custom-properties" xmlns:vt="http://schemas.openxmlformats.org/officeDocument/2006/docPropsVTypes"/>
</file>