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Civilās aizsardzības un katastrofas pārvaldīšanas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30.jūnijam izdod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 </w:t>
            </w:r>
            <w:r w:rsidR="00000000" w:rsidRPr="00000000" w:rsidDel="00000000">
              <w:rPr>
                <w:rtl w:val="0"/>
              </w:rPr>
              <w:t xml:space="preserve">panta otro un trešo daļu attiecina uz būvniecības iecerēm, kas ierosinātas pēc 2026.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11.07.2024. izteikto priekšlikumu ar kuru tika lūgts precizēt pārejas noteikumu 10. punktu, nosakot, ka ar likuma grozījumiem noteiktie pienākumi neattiecas uz projektiem, kas tiek līdzfinansēti no ES 2021.-2027. gada struktūrfondiem, ņemot vērā, ka prasību izpilde var būtiski sadārdzināt projektus, kas attiecīgi var apdraudēt plānoto rezultatīvo rādītāju sasniegšanu.  Lūdzam atgriezties pie iepriekš saskaņotās redakcijas formulējuma.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30.jūnijam izdod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7.1 panta otro un trešo daļu var neattiecināt uz būvprojektiem, kas līdz 2027.gada 1.janvārim noteiktā kārtībā saskaņoti (akceptēti) vai iesniegti saskaņošanai institūcijā, kas pilda būvvaldes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Alma Kaurāte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18.09.2024.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18.09.2024.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Atzinumi_24-TA-287.docx</dc:title>
</cp:coreProperties>
</file>

<file path=docProps/custom.xml><?xml version="1.0" encoding="utf-8"?>
<Properties xmlns="http://schemas.openxmlformats.org/officeDocument/2006/custom-properties" xmlns:vt="http://schemas.openxmlformats.org/officeDocument/2006/docPropsVTypes"/>
</file>