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2.2.3. specifiskā atbalsta mērķa “Uzlabot dabas aizsardzību un bioloģisko daudzveidību, “zaļo” infrastruktūru, it īpaši pilsētvidē, un samazināt piesārņojumu” 2.2.3.7. pasākuma “Gaisa piesārņojošo vielu emisiju samazināšana pašvaldību siltumapgādē”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23-TA-1822</w:t>
    </w:r>
    <w:r>
      <w:br/>
    </w:r>
    <w:r w:rsidR="00000000" w:rsidRPr="00000000" w:rsidDel="00000000">
      <w:rPr>
        <w:rtl w:val="0"/>
      </w:rPr>
      <w:t xml:space="preserve">Izdrukāts 11.12.2023. 11.13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23-TA-1822</w:t>
    </w:r>
    <w:r>
      <w:br/>
    </w:r>
    <w:r w:rsidR="00000000" w:rsidRPr="00000000" w:rsidDel="00000000">
      <w:rPr>
        <w:rtl w:val="0"/>
      </w:rPr>
      <w:t xml:space="preserve">Izdrukāts 11.12.2023. 11.13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Atzinumi_23-TA-1822.docx</dc:title>
</cp:coreProperties>
</file>

<file path=docProps/custom.xml><?xml version="1.0" encoding="utf-8"?>
<Properties xmlns="http://schemas.openxmlformats.org/officeDocument/2006/custom-properties" xmlns:vt="http://schemas.openxmlformats.org/officeDocument/2006/docPropsVTypes"/>
</file>