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iesniegumu sertifikāta darbības atjaunošanai kopā ar apliecinājumu, kurā norādīts ka viņš atbilst šā likuma 8. panta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Zvērinātu revidentu asociācija viena mēneša laikā pēc visu šā panta sestajā daļā minēto  dokumentu saņemšanas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Brīvas pakalpojumu sniegšanas likuma 14. pantā ir noteikta atļaujas izsniegšanas kārtība un nosacījumi. Tā, piemēram, atbilstoši Brīvas pakalpojumu sniegšanas likuma 14. panta sestajā daļā noteiktajam uzskatāms, ka atļauja ir izsniegta ar noklusējumu, ja normatīvajā aktā noteiktajā termiņā atbildīgā iestāde </w:t>
            </w:r>
            <w:r w:rsidR="00000000" w:rsidRPr="00000000" w:rsidDel="00000000">
              <w:rPr>
                <w:b w:val="1"/>
                <w:u w:val="single"/>
                <w:rtl w:val="0"/>
              </w:rPr>
              <w:t xml:space="preserve">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septītā daļa noteic, ka, piemērojot konkrēto pakalpojumu vai pakalpojumu jomu reglamentējošā normatīvajā aktā noteikto noklusējumu, par atļaujas izsniegšanu atbildīgā </w:t>
            </w:r>
            <w:r w:rsidR="00000000" w:rsidRPr="00000000" w:rsidDel="00000000">
              <w:rPr>
                <w:u w:val="single"/>
                <w:rtl w:val="0"/>
              </w:rPr>
              <w:t xml:space="preserve">iestāde ne vēlāk kā 10 darba dienu laikā pēc atļaujas izsniegšanai nepieciešamās informācijas (dokumentācijas) saņemšanas, ja normatīvajā aktā nav noteikts cits termiņš, nodrošina, ka atļaujas pieteikuma iesniedzējs ir informēts par:</w:t>
            </w:r>
            <w:r w:rsidR="00000000" w:rsidRPr="00000000" w:rsidDel="00000000">
              <w:rPr>
                <w:u w:val="single"/>
                <w:rtl w:val="0"/>
              </w:rPr>
              <w:t xml:space="preserve">1) termiņu, kādā tiks pieņemts lēmums par atļaujas piešķiršanu vai atteikumu to piešķirt;</w:t>
            </w:r>
            <w:r w:rsidR="00000000" w:rsidRPr="00000000" w:rsidDel="00000000">
              <w:rPr>
                <w:u w:val="single"/>
                <w:rtl w:val="0"/>
              </w:rPr>
              <w:t xml:space="preserve">2) tiesiskās aizsardzības līdzekļiem lēmuma pārsūdzēšanai;</w:t>
            </w:r>
            <w:r w:rsidR="00000000" w:rsidRPr="00000000" w:rsidDel="00000000">
              <w:rPr>
                <w:u w:val="single"/>
                <w:rtl w:val="0"/>
              </w:rPr>
              <w:t xml:space="preserve">3) tiesībām uzsākt pakalpojumu sniegšanu, ja konkrēto pakalpojumu vai pakalpojumu jomu reglamentējošā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 piemērojot normatīvajā aktā noteikto noklusējumu, </w:t>
            </w:r>
            <w:r w:rsidR="00000000" w:rsidRPr="00000000" w:rsidDel="00000000">
              <w:rPr>
                <w:u w:val="single"/>
                <w:rtl w:val="0"/>
              </w:rPr>
              <w:t xml:space="preserve">lēmuma par atļaujas izsniegšanu pieņemšanas termiņš tiek skaitīts no dienas, kad par atļaujas izsniegšanu atbildīgā iestāde no atļaujas pieteicēja ir saņēmusi visu normatīvajos aktos noteikto informāciju (dokumentāciju) lēmuma pieņemšanai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Revīzijas pakalpojumu likumā"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minēts, ka projektā tiek saglabāts Brīvas pakalpojumu sniegšanas likumā minētais noklusējums, bet no projektā paredzētā likuma 17. panta septītajā daļā ietvertā regulējuma neizriet, ka tas atbilst Brīvas pakalpojumu sniegšanas likumā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17. panta septītajā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projektā paredzētajā likuma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Pretendentu pieteikumu pieredzes atzīšanai un iesniegumu zvērinātu revidentu kvalifikācijas eksāmenu kārtošanai izskatīšana notiek par maksu, kuras apmēru un 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kā izstrādā pilnvarojumu Ministru kabinetam izdot ārēju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likuma 10. panta sesto daļu, 11. panta trešo daļu un 22.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aptur zvērināta revidenta sertifikāta darbību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likuma 17. panta otrās daļas 2.</w:t>
            </w:r>
            <w:r w:rsidR="00000000" w:rsidRPr="00000000" w:rsidDel="00000000">
              <w:rPr>
                <w:vertAlign w:val="superscript"/>
                <w:rtl w:val="0"/>
              </w:rPr>
              <w:t xml:space="preserve">1</w:t>
            </w:r>
            <w:r w:rsidR="00000000" w:rsidRPr="00000000" w:rsidDel="00000000">
              <w:rPr>
                <w:rtl w:val="0"/>
              </w:rPr>
              <w:t xml:space="preserve"> punktu, jo tajā minētie vārdi "Zvērinātu revidentu asociācija aptur zvērināta revidenta sertifikāta darbību" dublē likuma 17. panta otrās daļas ievaddaļā minētos vārdus "Zvērinātu revidentu asociācija aptur zvērināta revidenta sertifikāta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projektā paredzētajā likuma 17. panta otrās daļas 2.</w:t>
            </w:r>
            <w:r w:rsidR="00000000" w:rsidRPr="00000000" w:rsidDel="00000000">
              <w:rPr>
                <w:vertAlign w:val="superscript"/>
                <w:rtl w:val="0"/>
              </w:rPr>
              <w:t xml:space="preserve">1</w:t>
            </w:r>
            <w:r w:rsidR="00000000" w:rsidRPr="00000000" w:rsidDel="00000000">
              <w:rPr>
                <w:rtl w:val="0"/>
              </w:rPr>
              <w:t xml:space="preserve"> punktā minētais neatbilst projektā paredzētajā likuma 17. panta otrās daļas ievaddaļā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projektā nedublēt citos likumos esošo regulējumu, kā arī redakcionāli nošķirt sertifikāta anulēšanu no tam atbilstoša lēmuma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12. pantā (grozāmā likuma 18. pants) paredzēts, ka Latvijas Zvērinātu revidentu asociācija anulē zvērināta revidenta sertifikātu gadījumos, ja zvērināts revidents būtiski pārkāpis Noziedzīgi iegūtu līdzekļu legalizācijas un terorisma un proliferācijas finansēšanas novēršanas likuma prasības vai zvērināts revidents pārkāpis starptautisko un nacionālo sankciju regulējošo normatīvo aktu prasības attiecībā uz iekšējās kontroles sistēmu un sankciju riska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neietvert šajā pantā minēto regulējumu. Pirmkārt, tas dublē Starptautisko un Latvijas Republikas nacionālo sankciju likuma un Noziedzīgi iegūtu līdzekļu legalizācijas un terorisma un proliferācijas finansēšanas novēršanas likuma regulējumu (Ministru kabineta 2009. gada 3. februāra noteikumu Nr. 108 "Normatīvo aktu projektu sagatavošanas noteikumi" 3.2. apakšpunkts). Otrkārt, darbības apturēšana, pārtraukšana u. tml. par minētajiem pārkāpumiem ir sankcija (sods). Tas būtībā ir atbildības jautājums un būtu ietverams attiecīgajā likuma nodaļā. Visbeidzot, vispārīgi ir apšaubāmas Latvijas Zvērinātu revidentu asociācijas kā privātpersonas tiesības piemērot šādas sankcijas (sodus).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12. pantā paredzēts: "Ja Finanšu ministrija ir pieņēmusi lēmumu par sankcijas – zvērināta revidenta sertifikāta anulēšana piemērošanu, tad Latvijas Zvērinātu revidentu asociācija anulē zvērināta revidenta sertifikātu." Šajā gadījumā sertifikāts ir anulēts, pamatojoties uz Finanšu ministrijas lēmumu. Latvijas Zvērinātu revidentu asociācija tikai izpilda minēto lēmumu (piemēram, izdara ierakstu reģistrā). Līdz ar to aicinām šeit un citviet projektā nošķirt sertifikāta anulēšanu no attiecīga lēmuma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Līdz ar to, ja likumā tiek noteikts, ka attiecīgo lēmumu pieņem mēneša laikā no iesnieguma saņemšanas dienas, tiek dublēts Administratīva procesa likuma 64. panta pirmajā daļā paredzētais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paredzētos grozījumus, kas paredz noteikt, ka lēmumu pieņem viena mēneša laikā no iesnieguma saņemšanas dienas (piemēram, projektā paredzēto likuma 22.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likumā aizstāt vārdu "pieteikums" ar vārdu "iesniegums", lūdzam precizēt projektā paredzēto grozījumu likuma 28.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pienākumu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komercsabiedrība, kura ir reģistrēta Latvijā un kuras pārvedami vērtspapīri ir iekļauti dalībvalsts regulētajā tirgū,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komercsabiedrībai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sabiedriskas nozīmes struktūra, kas nav šā panta otrajā daļā minētā komercsabiedrība,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sabiedriskas nozīmes struktūrai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sabiedriskas nozīmes struktūra nav ievērojusi šā likuma un regulas Nr. 537/2014 16.panta prasības attiecībā uz zvērināta revidenta vai zvērinātu revidentu komercsabiedrības iecelšanu sabiedriskas nozīmes struktūrā un 17. panta prasības par revīzijas uzdevuma veikšanas termiņa ilgumu sabiedriskas nozīmes struktūrā, slēdzot revīzijas pakalpojumu līgumu ar zvērinātu revidentu vai zvērinātu revidentu komercsabiedrību vai pagarinot minētā līguma darbības termiņu, Latvijas Banka ir tiesīga piemērot šai sabiedriskas nozīmes struktūrai vienu vai vairākas šā likuma 37.</w:t>
            </w:r>
            <w:r w:rsidR="00000000" w:rsidRPr="00000000" w:rsidDel="00000000">
              <w:rPr>
                <w:vertAlign w:val="superscript"/>
                <w:rtl w:val="0"/>
              </w:rPr>
              <w:t xml:space="preserve">11</w:t>
            </w:r>
            <w:r w:rsidR="00000000" w:rsidRPr="00000000" w:rsidDel="00000000">
              <w:rPr>
                <w:rtl w:val="0"/>
              </w:rPr>
              <w:t xml:space="preserve"> pantā minētās sankcijas vai šā likuma 37.</w:t>
            </w:r>
            <w:r w:rsidR="00000000" w:rsidRPr="00000000" w:rsidDel="00000000">
              <w:rPr>
                <w:vertAlign w:val="superscript"/>
                <w:rtl w:val="0"/>
              </w:rPr>
              <w:t xml:space="preserve">15</w:t>
            </w:r>
            <w:r w:rsidR="00000000" w:rsidRPr="00000000" w:rsidDel="00000000">
              <w:rPr>
                <w:rtl w:val="0"/>
              </w:rPr>
              <w:t xml:space="preserve"> pantā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redakcionāli precizēt pārkāpumu un par tiem piemērojamo sankciju un administratīvo pasākumu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38. pantā (grozāmā likuma 37.</w:t>
            </w:r>
            <w:r w:rsidR="00000000" w:rsidRPr="00000000" w:rsidDel="00000000">
              <w:rPr>
                <w:vertAlign w:val="superscript"/>
                <w:rtl w:val="0"/>
              </w:rPr>
              <w:t xml:space="preserve">16</w:t>
            </w:r>
            <w:r w:rsidR="00000000" w:rsidRPr="00000000" w:rsidDel="00000000">
              <w:rPr>
                <w:rtl w:val="0"/>
              </w:rPr>
              <w:t xml:space="preserve"> pants) iekļautajos pārkāpumu formulējumos nav nepieciešams izmantot iekšējās atsauces ("šā likuma prasības"). Pārkāpumam jābūt skaidram pašam par sevi arī tad, ja šāda veida atsauces uz likumu vai regulu izņem no pārkāpuma 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grozāmā likuma 37.</w:t>
            </w:r>
            <w:r w:rsidR="00000000" w:rsidRPr="00000000" w:rsidDel="00000000">
              <w:rPr>
                <w:vertAlign w:val="superscript"/>
                <w:rtl w:val="0"/>
              </w:rPr>
              <w:t xml:space="preserve">16</w:t>
            </w:r>
            <w:r w:rsidR="00000000" w:rsidRPr="00000000" w:rsidDel="00000000">
              <w:rPr>
                <w:rtl w:val="0"/>
              </w:rPr>
              <w:t xml:space="preserve"> panta otrajā, trešajā un ceturtajā daļā ir norādīts, ka Latvijas Banka ir tiesīga piemērot noteiktas sankcijas vai administratīvos pasākumus. Aicinām izvērtēt saikļu lietojumu šāda veida regulējumā. Ja sankciju uzskaitījumā lieto saikli "un", tas šķietami norāda, ka varētu piemērot visas minētās sankcijas vienlaikus (tas savukārt neatbilst sankciju jēgai, piemēram, brīdinājuma un naudas soda vienlaicīga piemērošana). Līdzīga pieeja ir izmantota arī administratīvo pasākumu uzskaitījumā. Savukārt sankcijas un administratīvie pasākumi ir atdalīti ar saikli "vai" (alternatīva piemērošana). Domājams, ka arī šajā gadījumā piemērojams vispārīgais noteikums, ka administratīvos pasākumus var piemērot atsevišķi vai papildus sankcijām. Lai pienācīgi atspoguļotu regulējuma mērķi, aicinām arī projekta anotācijā iekļaut skaidrojumu par sankciju un administratīvo pasākumu piemērošanu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noteiktā aizlieguma sniegt ar revīziju nesaistītus pakalpojumus un 5. punktā noteikto neatkarības prasību ievērošanas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limita par ar sabiedriskas nozīmes struktūru revīziju nesaistītiem pakalpojumiem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prasību par sabiedriskas nozīmes struktūras revīzijas maksimālā tā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atbilstoša pakāpeniskās rotācijas mehānisma darbiniekiem izveidošanu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maksa,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regulas Nr.537/2014 12.panta pirmās daļas prasības par ziņojuma un informācijas sniegšanu Latvijas Bankai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klientiem, kas nav sabiedriskas nozīmes struktūras, sankcijas vai administratīvos pasākumus Finanšu ministrija piemēro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atkārtoti pārliecināties par pārkāpumu formulējumu atbilstību, lai varētu uzskatīt, ka pārkāpumi ir noteikti ar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bija norādīts, ka pārkāpumi formulējami, vārdiski (nevis atsaucēs uz tiesību normām) norādot visas to pazīmes. Pat blanketai normai ir jāsatur visas nepieciešamās pazīmes, pat ja tās tiek detalizētas citās tiesību normās. Šobrīd projektā paredzētā grozāmā likuma 38.</w:t>
            </w:r>
            <w:r w:rsidR="00000000" w:rsidRPr="00000000" w:rsidDel="00000000">
              <w:rPr>
                <w:vertAlign w:val="superscript"/>
                <w:rtl w:val="0"/>
              </w:rPr>
              <w:t xml:space="preserve">7</w:t>
            </w:r>
            <w:r w:rsidR="00000000" w:rsidRPr="00000000" w:rsidDel="00000000">
              <w:rPr>
                <w:rtl w:val="0"/>
              </w:rPr>
              <w:t xml:space="preserve"> pants vismaz vispārīgā skatījumā pamatā atbilst minētajām prasībām. Tomēr, piemēram, šā panta pirmās daļas 30. punktā ieteicams precizēt, kāda veida ziņojuma vai informācijas sniegšana šajā gadījumā ir domāta.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lai izvērtētu pārkāpuma definēšanas atbilstību, iespējams izmantot šādu pieeju: 1) pārkāpumam jābūt skaidram, precīzam, saprotamam un jāsatur visas nepieciešamās pazīmes arī tad, ja izņem attiecīgajā likuma vienībā esošās atsauces uz citām tiesību normām; 2) normas adresātam, nelasot atsaucē norādītās normas, jāspēj vismaz paredzēt, par kādu rīcību varētu pastāvēt sodīšanas risks. Aicinām vēlreiz pārliecināties par grozāmā likuma 38.</w:t>
            </w:r>
            <w:r w:rsidR="00000000" w:rsidRPr="00000000" w:rsidDel="00000000">
              <w:rPr>
                <w:vertAlign w:val="superscript"/>
                <w:rtl w:val="0"/>
              </w:rPr>
              <w:t xml:space="preserve">7</w:t>
            </w:r>
            <w:r w:rsidR="00000000" w:rsidRPr="00000000" w:rsidDel="00000000">
              <w:rPr>
                <w:rtl w:val="0"/>
              </w:rPr>
              <w:t xml:space="preserve"> pantā un 37.</w:t>
            </w:r>
            <w:r w:rsidR="00000000" w:rsidRPr="00000000" w:rsidDel="00000000">
              <w:rPr>
                <w:vertAlign w:val="superscript"/>
                <w:rtl w:val="0"/>
              </w:rPr>
              <w:t xml:space="preserve">16</w:t>
            </w:r>
            <w:r w:rsidR="00000000" w:rsidRPr="00000000" w:rsidDel="00000000">
              <w:rPr>
                <w:rtl w:val="0"/>
              </w:rPr>
              <w:t xml:space="preserve"> pantā paredzēto pārkāpumu atbilstību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10</w:t>
            </w:r>
            <w:r w:rsidR="00000000" w:rsidRPr="00000000" w:rsidDel="00000000">
              <w:rPr>
                <w:b w:val="1"/>
                <w:rtl w:val="0"/>
              </w:rPr>
              <w:t xml:space="preserve"> pants. Lēmumu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informāciju par personām piemērotajām šā likuma 38.</w:t>
            </w:r>
            <w:r w:rsidR="00000000" w:rsidRPr="00000000" w:rsidDel="00000000">
              <w:rPr>
                <w:vertAlign w:val="superscript"/>
                <w:rtl w:val="0"/>
              </w:rPr>
              <w:t xml:space="preserve">2 </w:t>
            </w:r>
            <w:r w:rsidR="00000000" w:rsidRPr="00000000" w:rsidDel="00000000">
              <w:rPr>
                <w:rtl w:val="0"/>
              </w:rPr>
              <w:t xml:space="preserve">pantā minētajām sankcijām un šā likuma 38.</w:t>
            </w:r>
            <w:r w:rsidR="00000000" w:rsidRPr="00000000" w:rsidDel="00000000">
              <w:rPr>
                <w:vertAlign w:val="superscript"/>
                <w:rtl w:val="0"/>
              </w:rPr>
              <w:t xml:space="preserve">6 </w:t>
            </w:r>
            <w:r w:rsidR="00000000" w:rsidRPr="00000000" w:rsidDel="00000000">
              <w:rPr>
                <w:rtl w:val="0"/>
              </w:rPr>
              <w:t xml:space="preserve">panta pirmajā daļā minētajiem administratīvajiem pasākumiem ievieto savā tīmekļvietnē, norādot par pārkāpumu atbildīgo personu (zvērināta revidenta vārds, uzvārds, sertifikāta numurs un zvērinātu revidentu komercsabiedrības nosaukums, reģistrācijas numurs un licences numurs), pārkāpuma veidu un būtību un Finanšu ministrijas piemēroto sankciju vai administratīvo pasākumu, kā arī ziņas par izdotā administratīvā akta lēmuma pārsūdzēšanu un pieņemto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Finanšu ministrija ievieto savā tīmekļvietnē piecu darbdienu laikā no dienas, kad beidzies akta (lēmuma) pārsūdzēšanas termiņš un tas nav pārsūdzēts.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informāciju Finanšu ministrija publisko, neidentificējot personu, ja pēc iepriekšēja izvērtējuma veikšanas konstatē, ka tās fiziskās personas datu atklāšana, kurai piemērota sankcija vai administratīvais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paredzams, ka šā panta trešajā daļā minētie apstākļi saprātīgā laikposmā var izbeigties, šā panta pirmajā daļā minētās informācijas publiskošanu var atlikt uz šādu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noteiktajā kārtībā Finanšu ministrijas tīmekļvietnē ievietotā informācija ir pieejama vismaz piecus gadus no tās pirmreizējās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grozāmā likuma 38.</w:t>
            </w:r>
            <w:r w:rsidR="00000000" w:rsidRPr="00000000" w:rsidDel="00000000">
              <w:rPr>
                <w:vertAlign w:val="superscript"/>
                <w:rtl w:val="0"/>
              </w:rPr>
              <w:t xml:space="preserve">10</w:t>
            </w:r>
            <w:r w:rsidR="00000000" w:rsidRPr="00000000" w:rsidDel="00000000">
              <w:rPr>
                <w:rtl w:val="0"/>
              </w:rPr>
              <w:t xml:space="preserve"> panta (projekta 42. pants) un 37.</w:t>
            </w:r>
            <w:r w:rsidR="00000000" w:rsidRPr="00000000" w:rsidDel="00000000">
              <w:rPr>
                <w:vertAlign w:val="superscript"/>
                <w:rtl w:val="0"/>
              </w:rPr>
              <w:t xml:space="preserve">17</w:t>
            </w:r>
            <w:r w:rsidR="00000000" w:rsidRPr="00000000" w:rsidDel="00000000">
              <w:rPr>
                <w:rtl w:val="0"/>
              </w:rPr>
              <w:t xml:space="preserve"> panta (projekta 38. pants) saturs ir līdzīgs. Līdz ar to aicinām līdzīgi veidot šo pantu struktūru un izmantot līdzīgas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45. pantā paredzēto likuma pārejas noteikumu 33. punktu, norādot konkrētu 2025. gada datumu (piemēram, 2025. gada 1. janvārī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nepieciešams veikt grozījumu likuma 27. panta pirmajā daļā, bet projekts neparedz šādu grozījumu. Ievērojot minēto, lūdzam precizēt anotācijas 1.3. apakšsadaļā ietverto informāciju 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64. panta pirmajā daļā noteiktais administratīvā akta izdošanas termiņš attiecas uz gadījumiem, kad </w:t>
            </w:r>
            <w:r w:rsidR="00000000" w:rsidRPr="00000000" w:rsidDel="00000000">
              <w:rPr>
                <w:u w:val="single"/>
                <w:rtl w:val="0"/>
              </w:rPr>
              <w:t xml:space="preserve">administratīvā lieta ierosināta uz iesnieguma pamata</w:t>
            </w:r>
            <w:r w:rsidR="00000000" w:rsidRPr="00000000" w:rsidDel="00000000">
              <w:rPr>
                <w:rtl w:val="0"/>
              </w:rPr>
              <w:t xml:space="preserve">, lūdzam precizēt anotācijas 1.3. apakšsadaļā ietverto skaidrojumu, kādēļ projekts paredz aizstāt likumā minēto 30 dienu termiņu ar viena mēneša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Ministru kabineta noteikumos var paredzēt materiālās tiesību normas, bet nepieciešams attiecīgs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to, ka atbilstoši juridiskās tehnikas prasībām zemāka juridiskā ranga normatīvajā aktā nav jāraksta materiālās tiesību normas, bet gan procesuālās.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25.04.2024.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25.04.2024.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