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25-TA-115: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9. jūlija noteikumos Nr. 448 "Eiropas Savienības kohēzijas politikas programmas 2021.–2027. gadam 4.1.2. specifiskā atbalsta mērķa "Uzlabot vienlīdzīgu un savlaicīgu piekļuvi kvalitatīviem, ilgtspējīgiem un izmaksu ziņā pieejamiem veselības aprūpes, veselības veicināšanas un slimību profilakses pakalpojumiem, uzlabojot veselības aprūpes sistēmu efektivitāti un izturētspēju" 4.1.2.2. pasākuma "Veselības veicināšanas un slimību profilakses pasākumu īstenošana vietējai sabiedrībai"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Veselības ministrija ir atbildīga par efektīvu finansējuma izlietojumu un pakalpojuma pieejamības pakalpojumu saņēmējiem nodrošināšanu optimālākā veidā. Līdz ar to, lūdzam papildināt anotāciju ar informāciju par to kā Veselības ministrija ir pārliecinājusies par finansējuma saņēmēja spēju īstenot projekta aktivitātes teritorijā, pār kuru finansējuma saņēmējs plāno uzņemies saistības.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Matīss Iesalnieks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Viennozīmīgai izpratnei, aicinām noteikumu projekta anotācijas 1.3. sadaļas attiecīgajā apakšsadaļā "Risinājuma apraksts" skaidri norādīt, ka pārejās transporta izmaksas mērķa grupām nokļūšanai pasākumu norises vietās, kurām nav noteikta likme metodikā “Vienas vienības izmaksu standarta likmes aprēķina un piemērošanas metodika 1 km izmaksām darbības programmas “Izaugsme un nodarbinātība” un Eiropas Savienības kohēzijas politikas programmas 2021.–2027.gadam īstenošanai”, attiecināmas kā faktiskās izmaksas. Vienlaikus lūdzam minētajā anotācijas apakšsadaļā svītrot iekļauto aprakstu par principiem, uz ko balstīti metodikā ietverto likmju aprēķini, jo tie nav jādublē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Vamža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Veselības ministrijai sadarbībā ar Centrālo finanšu un līgumu aģentūru nodrošināt, ka finansējuma saņēmējs - Ventspils domes administrācija uzņemas papildu līgumsaistības projektā Nr. 4.1.2.2/1/24/I/005 “Pasākumu īstenošana Ventspils valstspilsētā vietējās sabiedrības veselības veicināšanai un slimību profilaksei”, palielinot pieejamo kopējo attiecināmo finansējumu par 84 169,00 </w:t>
            </w:r>
            <w:r w:rsidR="00000000" w:rsidRPr="00000000" w:rsidDel="00000000">
              <w:rPr>
                <w:i w:val="1"/>
                <w:rtl w:val="0"/>
              </w:rPr>
              <w:t xml:space="preserve">euro</w:t>
            </w:r>
            <w:r w:rsidR="00000000" w:rsidRPr="00000000" w:rsidDel="00000000">
              <w:rPr>
                <w:rtl w:val="0"/>
              </w:rPr>
              <w:t xml:space="preserve"> pēc tam, kad ir stājušies spēkā grozījumi projekta iesniegumā.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izmaiņas projekta iesniegumā neveic pēc projekta iesnieguma apstiprināšanas un vienošanās par projekta īstenošanu parakstīšanas, attiecīgi lūdzam precizēt MK sēdes protokollēmuma projekta 3.punktu.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Matīss Iesalnieks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r w:rsidR="00000000" w:rsidRPr="00000000" w:rsidDel="00000000">
              <w:rPr>
                <w:vertAlign w:val="superscript"/>
                <w:rtl w:val="0"/>
              </w:rPr>
              <w:t xml:space="preserve">1</w:t>
            </w:r>
            <w:r w:rsidR="00000000" w:rsidRPr="00000000" w:rsidDel="00000000">
              <w:rPr>
                <w:rtl w:val="0"/>
              </w:rPr>
              <w:t xml:space="preserve"> Ja projektu iesniegumu atlases ietvaros nav pieteicies kāds no šo noteikumu </w:t>
            </w:r>
            <w:r w:rsidR="00000000" w:rsidRPr="00000000" w:rsidDel="00000000">
              <w:rPr>
                <w:rtl w:val="0"/>
              </w:rPr>
              <w:t xml:space="preserve">14.</w:t>
            </w:r>
            <w:r w:rsidR="00000000" w:rsidRPr="00000000" w:rsidDel="00000000">
              <w:rPr>
                <w:rtl w:val="0"/>
              </w:rPr>
              <w:t xml:space="preserve">  punktā minētajiem projekta iesniedzējiem, tad atbildīgā iestāde, atsevišķi vienojoties, nosaka vietējās sabiedrības veselības veicināšanas un slimību profilakses pasākumu īstenošanu veikt citam šo noteikumu </w:t>
            </w:r>
            <w:r w:rsidR="00000000" w:rsidRPr="00000000" w:rsidDel="00000000">
              <w:rPr>
                <w:rtl w:val="0"/>
              </w:rPr>
              <w:t xml:space="preserve">14.</w:t>
            </w:r>
            <w:r w:rsidR="00000000" w:rsidRPr="00000000" w:rsidDel="00000000">
              <w:rPr>
                <w:rtl w:val="0"/>
              </w:rPr>
              <w:t xml:space="preserve"> punktā minētajam finansējuma saņēmējam.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viennozīmīgai tiesību normas interpretācijai papildināt noteikumu projekta 1.punktā izteikto 14.</w:t>
            </w:r>
            <w:r w:rsidR="00000000" w:rsidRPr="00000000" w:rsidDel="00000000">
              <w:rPr>
                <w:vertAlign w:val="superscript"/>
                <w:rtl w:val="0"/>
              </w:rPr>
              <w:t xml:space="preserve">1</w:t>
            </w:r>
            <w:r w:rsidR="00000000" w:rsidRPr="00000000" w:rsidDel="00000000">
              <w:rPr>
                <w:rtl w:val="0"/>
              </w:rPr>
              <w:t xml:space="preserve"> punktu ar subjektu, ar ko būs atsevišķi jāvienojas atbildīgajai iestādei, gadījumā, ja vietējās sabiedrības veselības veicināšanas un slimību profilakses pasākumu īstenošanu veiks cits šo noteikumu 14. punktā minētais finansējuma saņēmējs.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ņemot vērā, ka noteikumu 14. punktā minēts, ka projektu iesniedzēju saraksts noteikts pielikumā, lūdzam 14.</w:t>
            </w:r>
            <w:r w:rsidR="00000000" w:rsidRPr="00000000" w:rsidDel="00000000">
              <w:rPr>
                <w:vertAlign w:val="superscript"/>
                <w:rtl w:val="0"/>
              </w:rPr>
              <w:t xml:space="preserve">1</w:t>
            </w:r>
            <w:r w:rsidR="00000000" w:rsidRPr="00000000" w:rsidDel="00000000">
              <w:rPr>
                <w:rtl w:val="0"/>
              </w:rPr>
              <w:t xml:space="preserve"> punktā minēto atsauci uz 14. punktu aizstāt ar atsauci uz noteikumu pielikumu.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izvērtēt iespēju grozīt noteikumu projekta pielikumā noteikto finansējuma apjomu Ventspilij un Ventspils novadam, tādējādi saglabājot nosacījumu pārskatāmību.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Vamža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r w:rsidR="00000000" w:rsidRPr="00000000" w:rsidDel="00000000">
              <w:rPr>
                <w:vertAlign w:val="superscript"/>
                <w:rtl w:val="0"/>
              </w:rPr>
              <w:t xml:space="preserve">2</w:t>
            </w:r>
            <w:r w:rsidR="00000000" w:rsidRPr="00000000" w:rsidDel="00000000">
              <w:rPr>
                <w:rtl w:val="0"/>
              </w:rPr>
              <w:t xml:space="preserve"> Šo noteikumu </w:t>
            </w:r>
            <w:r w:rsidR="00000000" w:rsidRPr="00000000" w:rsidDel="00000000">
              <w:rPr>
                <w:rtl w:val="0"/>
              </w:rPr>
              <w:t xml:space="preserve">14.</w:t>
            </w:r>
            <w:r w:rsidR="00000000" w:rsidRPr="00000000" w:rsidDel="00000000">
              <w:rPr>
                <w:vertAlign w:val="superscript"/>
                <w:rtl w:val="0"/>
              </w:rPr>
              <w:t xml:space="preserve">1</w:t>
            </w:r>
            <w:r w:rsidR="00000000" w:rsidRPr="00000000" w:rsidDel="00000000">
              <w:rPr>
                <w:rtl w:val="0"/>
              </w:rPr>
              <w:t xml:space="preserve"> punktā minētajā gadījumā atbildīgā iestāde uzaicina šo noteikumu </w:t>
            </w:r>
            <w:r w:rsidR="00000000" w:rsidRPr="00000000" w:rsidDel="00000000">
              <w:rPr>
                <w:rtl w:val="0"/>
              </w:rPr>
              <w:t xml:space="preserve">14.</w:t>
            </w:r>
            <w:r w:rsidR="00000000" w:rsidRPr="00000000" w:rsidDel="00000000">
              <w:rPr>
                <w:rtl w:val="0"/>
              </w:rPr>
              <w:t xml:space="preserve"> punktā minēto finansējuma saņēmēju veikt atbilstošus grozījumus projekta iesniegumā, palielinot projekta summu par  šo noteikuma 43. punktā minētā projekta iesniedzēja plānoto individuālo kopējo attiecināmo finansējumu.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projektā nav 43. punkta, līdz ar to lūdzam precizēt noteikumu 14.</w:t>
            </w:r>
            <w:r w:rsidR="00000000" w:rsidRPr="00000000" w:rsidDel="00000000">
              <w:rPr>
                <w:vertAlign w:val="superscript"/>
                <w:rtl w:val="0"/>
              </w:rPr>
              <w:t xml:space="preserve">2</w:t>
            </w:r>
            <w:r w:rsidR="00000000" w:rsidRPr="00000000" w:rsidDel="00000000">
              <w:rPr>
                <w:rtl w:val="0"/>
              </w:rPr>
              <w:t xml:space="preserve">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Lolita Zandare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Projekta iesniedzējs kopīgi ar sadarbības partneriem (ja attiecināms) sagatavo projekta iesniegumu atbilstoši projektu iesniegumu atlases nolikumā noteiktajām prasībām un iesniedz to sadarbības iestādē, izmantojot Kohēzijas politikas fondu vadības informācijas sistēmu, tai skaitā ar parakstu apliecina projekta iesniedzēja un sadarbības partnera (ja attiecināms) interešu konflikta neesību atbilstoši Eiropas Parlamenta un Padomes 2018. gada 18. jūlija Regulas Nr.  </w:t>
            </w:r>
            <w:r w:rsidR="00000000" w:rsidRPr="00000000" w:rsidDel="00000000">
              <w:rPr>
                <w:rtl w:val="0"/>
              </w:rPr>
              <w:t xml:space="preserve">2018/1046</w:t>
            </w:r>
            <w:r w:rsidR="00000000" w:rsidRPr="00000000" w:rsidDel="00000000">
              <w:rPr>
                <w:rtl w:val="0"/>
              </w:rPr>
              <w:t xml:space="preserve"> par finanšu noteikumiem, ko piemēro Savienības vispārējam budžetam, ar kuru groza Regulas (ES) Nr.  </w:t>
            </w:r>
            <w:r w:rsidR="00000000" w:rsidRPr="00000000" w:rsidDel="00000000">
              <w:rPr>
                <w:rtl w:val="0"/>
              </w:rPr>
              <w:t xml:space="preserve">1296/2013</w:t>
            </w:r>
            <w:r w:rsidR="00000000" w:rsidRPr="00000000" w:rsidDel="00000000">
              <w:rPr>
                <w:rtl w:val="0"/>
              </w:rPr>
              <w:t xml:space="preserve">, (ES) Nr.  </w:t>
            </w:r>
            <w:r w:rsidR="00000000" w:rsidRPr="00000000" w:rsidDel="00000000">
              <w:rPr>
                <w:rtl w:val="0"/>
              </w:rPr>
              <w:t xml:space="preserve">1301/2013</w:t>
            </w:r>
            <w:r w:rsidR="00000000" w:rsidRPr="00000000" w:rsidDel="00000000">
              <w:rPr>
                <w:rtl w:val="0"/>
              </w:rPr>
              <w:t xml:space="preserve">, (ES) Nr.  </w:t>
            </w:r>
            <w:r w:rsidR="00000000" w:rsidRPr="00000000" w:rsidDel="00000000">
              <w:rPr>
                <w:rtl w:val="0"/>
              </w:rPr>
              <w:t xml:space="preserve">1303/2013</w:t>
            </w:r>
            <w:r w:rsidR="00000000" w:rsidRPr="00000000" w:rsidDel="00000000">
              <w:rPr>
                <w:rtl w:val="0"/>
              </w:rPr>
              <w:t xml:space="preserve">, (ES) Nr.  </w:t>
            </w:r>
            <w:r w:rsidR="00000000" w:rsidRPr="00000000" w:rsidDel="00000000">
              <w:rPr>
                <w:rtl w:val="0"/>
              </w:rPr>
              <w:t xml:space="preserve">1304/2013</w:t>
            </w:r>
            <w:r w:rsidR="00000000" w:rsidRPr="00000000" w:rsidDel="00000000">
              <w:rPr>
                <w:rtl w:val="0"/>
              </w:rPr>
              <w:t xml:space="preserve">, (ES) Nr.  </w:t>
            </w:r>
            <w:r w:rsidR="00000000" w:rsidRPr="00000000" w:rsidDel="00000000">
              <w:rPr>
                <w:rtl w:val="0"/>
              </w:rPr>
              <w:t xml:space="preserve">1309/2013</w:t>
            </w:r>
            <w:r w:rsidR="00000000" w:rsidRPr="00000000" w:rsidDel="00000000">
              <w:rPr>
                <w:rtl w:val="0"/>
              </w:rPr>
              <w:t xml:space="preserve">, (ES) Nr.  </w:t>
            </w:r>
            <w:r w:rsidR="00000000" w:rsidRPr="00000000" w:rsidDel="00000000">
              <w:rPr>
                <w:rtl w:val="0"/>
              </w:rPr>
              <w:t xml:space="preserve">1316/2013</w:t>
            </w:r>
            <w:r w:rsidR="00000000" w:rsidRPr="00000000" w:rsidDel="00000000">
              <w:rPr>
                <w:rtl w:val="0"/>
              </w:rPr>
              <w:t xml:space="preserve">, (ES) Nr.  </w:t>
            </w:r>
            <w:r w:rsidR="00000000" w:rsidRPr="00000000" w:rsidDel="00000000">
              <w:rPr>
                <w:rtl w:val="0"/>
              </w:rPr>
              <w:t xml:space="preserve">223/2014</w:t>
            </w:r>
            <w:r w:rsidR="00000000" w:rsidRPr="00000000" w:rsidDel="00000000">
              <w:rPr>
                <w:rtl w:val="0"/>
              </w:rPr>
              <w:t xml:space="preserve">, (ES) Nr.  </w:t>
            </w:r>
            <w:r w:rsidR="00000000" w:rsidRPr="00000000" w:rsidDel="00000000">
              <w:rPr>
                <w:rtl w:val="0"/>
              </w:rPr>
              <w:t xml:space="preserve">283/2014</w:t>
            </w:r>
            <w:r w:rsidR="00000000" w:rsidRPr="00000000" w:rsidDel="00000000">
              <w:rPr>
                <w:rtl w:val="0"/>
              </w:rPr>
              <w:t xml:space="preserve"> un Lēmumu Nr. 541/2014/ES un atceļ Regulu (ES, </w:t>
            </w:r>
            <w:r w:rsidR="00000000" w:rsidRPr="00000000" w:rsidDel="00000000">
              <w:rPr>
                <w:i w:val="1"/>
                <w:rtl w:val="0"/>
              </w:rPr>
              <w:t xml:space="preserve">Euratom</w:t>
            </w:r>
            <w:r w:rsidR="00000000" w:rsidRPr="00000000" w:rsidDel="00000000">
              <w:rPr>
                <w:rtl w:val="0"/>
              </w:rPr>
              <w:t xml:space="preserve">) Nr. 966/2012, 61. pantam.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2024. gada 30. septembrī stājusies spēkā Eiropas Parlamenta un Padomes 2024. gada 23. septembra Regula (ES, Euratom) 2024/2509 par finanšu noteikumiem, ko piemēro Savienības vispārējam budžetam (pārstrādāta redakcija) (turpmāk - Regula 2024/2509). Saskaņā ar Regulas 2024/2509 279. pantu tā atceļ iepriekšējo “Finanšu regulu” – Eiropas Parlamenta un Padomes 2018. gada 18. jūlija Regula (ES, Euratom) 2018/1046 par finanšu noteikumiem, ko piemēro Savienības vispārējam budžetam, ar kuru groza Regulas (ES) Nr. 1296/2013, (ES) Nr. 1301/2013, (ES) Nr. 1303/2013, (ES) Nr. 1304/2013, (ES) Nr. 1309/2013, (ES) Nr. 1316/2013, (ES) Nr. 223/2014, (ES) Nr. 283/2014 un Lēmumu Nr. 541/2014/ES un atceļ Regulu (ES, Euratom) Nr. 966/2012. Aicinām atbilstoši precizēt atsauci noteikumu 20.punktā un 37.2. apakšpunktā. Vēršam uzmanību, ka saskaņā ar Regulas 2024/2509 279. pantu atsauces uz atcelto regulu uzskata par atsaucēm uz Regulu 2024/2509, un tās lasa saskaņā ar atbilstības tabulu Regulas 2024/2509 II pielikumā.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Vamža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25-TA-115</w:t>
    </w:r>
    <w:r>
      <w:br/>
    </w:r>
    <w:r w:rsidR="00000000" w:rsidRPr="00000000" w:rsidDel="00000000">
      <w:rPr>
        <w:rtl w:val="0"/>
      </w:rPr>
      <w:t xml:space="preserve">Izdrukāts 07.02.2025. 19.17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25-TA-115</w:t>
    </w:r>
    <w:r>
      <w:br/>
    </w:r>
    <w:r w:rsidR="00000000" w:rsidRPr="00000000" w:rsidDel="00000000">
      <w:rPr>
        <w:rtl w:val="0"/>
      </w:rPr>
      <w:t xml:space="preserve">Izdrukāts 07.02.2025. 19.17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Atzinumi_25-TA-115.docx</dc:title>
</cp:coreProperties>
</file>

<file path=docProps/custom.xml><?xml version="1.0" encoding="utf-8"?>
<Properties xmlns="http://schemas.openxmlformats.org/officeDocument/2006/custom-properties" xmlns:vt="http://schemas.openxmlformats.org/officeDocument/2006/docPropsVTypes"/>
</file>